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27E12">
      <w:pPr>
        <w:spacing w:line="360" w:lineRule="auto"/>
        <w:ind w:firstLine="482" w:firstLineChars="200"/>
        <w:rPr>
          <w:rFonts w:hint="eastAsia" w:cs="宋体"/>
          <w:b/>
          <w:bCs/>
          <w:color w:val="000000"/>
          <w:kern w:val="0"/>
          <w:sz w:val="24"/>
        </w:rPr>
      </w:pPr>
      <w:bookmarkStart w:id="0" w:name="_Toc439617906"/>
      <w:bookmarkStart w:id="1" w:name="_Toc443580682"/>
      <w:bookmarkStart w:id="2" w:name="_Hlk138576854"/>
      <w:bookmarkStart w:id="3" w:name="_Hlk195274416"/>
      <w:bookmarkStart w:id="4" w:name="_Hlk164948961"/>
      <w:bookmarkStart w:id="28" w:name="_GoBack"/>
      <w:bookmarkEnd w:id="28"/>
      <w:r>
        <w:rPr>
          <w:rFonts w:hint="eastAsia" w:cs="宋体"/>
          <w:b/>
          <w:bCs/>
          <w:color w:val="000000"/>
          <w:kern w:val="0"/>
          <w:sz w:val="24"/>
        </w:rPr>
        <w:t>附件1：资格审查条件</w:t>
      </w:r>
      <w:bookmarkEnd w:id="0"/>
      <w:bookmarkEnd w:id="1"/>
    </w:p>
    <w:p w14:paraId="048B5169">
      <w:pPr>
        <w:spacing w:before="156" w:beforeLines="50" w:after="156" w:afterLines="50" w:line="360" w:lineRule="auto"/>
        <w:jc w:val="center"/>
        <w:rPr>
          <w:rFonts w:hint="eastAsia"/>
          <w:b/>
          <w:color w:val="000000"/>
          <w:sz w:val="24"/>
        </w:rPr>
      </w:pPr>
      <w:r>
        <w:rPr>
          <w:rFonts w:hint="eastAsia"/>
          <w:b/>
          <w:color w:val="000000"/>
          <w:sz w:val="24"/>
        </w:rPr>
        <w:t>附录1 资格审查条件（</w:t>
      </w:r>
      <w:bookmarkStart w:id="5" w:name="_Hlk194509045"/>
      <w:r>
        <w:rPr>
          <w:rFonts w:hint="eastAsia"/>
          <w:b/>
          <w:color w:val="000000"/>
          <w:sz w:val="24"/>
        </w:rPr>
        <w:t>资质最低要求</w:t>
      </w:r>
      <w:bookmarkEnd w:id="5"/>
      <w:r>
        <w:rPr>
          <w:rFonts w:hint="eastAsia"/>
          <w:b/>
          <w:color w:val="000000"/>
          <w:sz w:val="24"/>
        </w:rPr>
        <w:t>）</w:t>
      </w:r>
    </w:p>
    <w:tbl>
      <w:tblPr>
        <w:tblStyle w:val="15"/>
        <w:tblW w:w="501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54"/>
      </w:tblGrid>
      <w:tr w14:paraId="068D4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5000" w:type="pct"/>
            <w:tcBorders>
              <w:top w:val="single" w:color="auto" w:sz="4" w:space="0"/>
              <w:left w:val="single" w:color="auto" w:sz="4" w:space="0"/>
              <w:bottom w:val="single" w:color="auto" w:sz="4" w:space="0"/>
              <w:right w:val="single" w:color="auto" w:sz="4" w:space="0"/>
            </w:tcBorders>
            <w:vAlign w:val="center"/>
          </w:tcPr>
          <w:p w14:paraId="6FBED20E">
            <w:pPr>
              <w:jc w:val="center"/>
              <w:rPr>
                <w:rFonts w:hint="eastAsia"/>
                <w:b/>
                <w:color w:val="000000"/>
                <w:sz w:val="24"/>
              </w:rPr>
            </w:pPr>
            <w:r>
              <w:rPr>
                <w:b/>
                <w:color w:val="000000"/>
                <w:sz w:val="24"/>
              </w:rPr>
              <w:t>资质要求</w:t>
            </w:r>
          </w:p>
        </w:tc>
      </w:tr>
      <w:tr w14:paraId="21F15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trPr>
        <w:tc>
          <w:tcPr>
            <w:tcW w:w="5000" w:type="pct"/>
            <w:vMerge w:val="restart"/>
            <w:tcBorders>
              <w:top w:val="single" w:color="auto" w:sz="4" w:space="0"/>
              <w:left w:val="single" w:color="auto" w:sz="4" w:space="0"/>
              <w:right w:val="single" w:color="auto" w:sz="4" w:space="0"/>
            </w:tcBorders>
            <w:vAlign w:val="center"/>
          </w:tcPr>
          <w:p w14:paraId="7469D634">
            <w:pPr>
              <w:spacing w:line="276" w:lineRule="auto"/>
              <w:ind w:firstLine="360" w:firstLineChars="150"/>
              <w:rPr>
                <w:rFonts w:hint="eastAsia"/>
                <w:color w:val="000000"/>
                <w:sz w:val="24"/>
              </w:rPr>
            </w:pPr>
            <w:bookmarkStart w:id="6" w:name="_Hlk194509068"/>
            <w:r>
              <w:rPr>
                <w:color w:val="000000"/>
                <w:sz w:val="24"/>
              </w:rPr>
              <w:t>具有独立</w:t>
            </w:r>
            <w:r>
              <w:rPr>
                <w:rFonts w:hint="eastAsia"/>
                <w:color w:val="000000"/>
                <w:sz w:val="24"/>
              </w:rPr>
              <w:t>企业</w:t>
            </w:r>
            <w:r>
              <w:rPr>
                <w:color w:val="000000"/>
                <w:sz w:val="24"/>
              </w:rPr>
              <w:t>法人资格</w:t>
            </w:r>
            <w:r>
              <w:rPr>
                <w:rFonts w:hint="eastAsia"/>
                <w:color w:val="000000"/>
                <w:sz w:val="24"/>
              </w:rPr>
              <w:t>，</w:t>
            </w:r>
            <w:r>
              <w:rPr>
                <w:color w:val="000000"/>
                <w:sz w:val="24"/>
              </w:rPr>
              <w:t>持有有效</w:t>
            </w:r>
            <w:r>
              <w:rPr>
                <w:rFonts w:hint="eastAsia"/>
                <w:color w:val="000000"/>
                <w:sz w:val="24"/>
              </w:rPr>
              <w:t>的</w:t>
            </w:r>
            <w:r>
              <w:rPr>
                <w:color w:val="000000"/>
                <w:sz w:val="24"/>
              </w:rPr>
              <w:t>企业营业执照</w:t>
            </w:r>
            <w:r>
              <w:rPr>
                <w:rFonts w:hint="eastAsia"/>
                <w:color w:val="000000"/>
                <w:sz w:val="24"/>
              </w:rPr>
              <w:t>；</w:t>
            </w:r>
          </w:p>
          <w:p w14:paraId="1B4B75FD">
            <w:pPr>
              <w:spacing w:line="276" w:lineRule="auto"/>
              <w:ind w:firstLine="360" w:firstLineChars="150"/>
              <w:rPr>
                <w:rFonts w:hint="eastAsia"/>
                <w:color w:val="000000"/>
                <w:sz w:val="24"/>
              </w:rPr>
            </w:pPr>
            <w:r>
              <w:rPr>
                <w:rFonts w:hint="eastAsia"/>
                <w:bCs/>
                <w:color w:val="000000"/>
                <w:sz w:val="24"/>
              </w:rPr>
              <w:t>具备交通运输行政主管部门颁发的公路养护作业单位路基路面养护甲级资质、</w:t>
            </w:r>
            <w:r>
              <w:rPr>
                <w:rFonts w:hint="eastAsia"/>
                <w:sz w:val="24"/>
              </w:rPr>
              <w:t>公路养护作业单位桥梁养护甲级资质、公路养护作业单位交通安全设施养护资质（业务范围可以承担各等级公路交通安全设施的各类养护工程）</w:t>
            </w:r>
            <w:r>
              <w:rPr>
                <w:rFonts w:hint="eastAsia"/>
                <w:color w:val="000000"/>
                <w:sz w:val="24"/>
              </w:rPr>
              <w:t>；</w:t>
            </w:r>
          </w:p>
          <w:p w14:paraId="38FA305F">
            <w:pPr>
              <w:spacing w:line="276" w:lineRule="auto"/>
              <w:ind w:firstLine="360" w:firstLineChars="150"/>
              <w:rPr>
                <w:rFonts w:hint="eastAsia"/>
                <w:color w:val="000000"/>
                <w:sz w:val="24"/>
              </w:rPr>
            </w:pPr>
            <w:r>
              <w:rPr>
                <w:rFonts w:hint="eastAsia"/>
                <w:color w:val="000000"/>
                <w:sz w:val="24"/>
              </w:rPr>
              <w:t>具备住房和城乡建设行政主管部门颁发的公路交通工程（公路机电工程分项）专业承包一级资质；</w:t>
            </w:r>
          </w:p>
          <w:p w14:paraId="711E6E99">
            <w:pPr>
              <w:spacing w:line="276" w:lineRule="auto"/>
              <w:ind w:firstLine="360" w:firstLineChars="150"/>
              <w:rPr>
                <w:rFonts w:hint="eastAsia"/>
                <w:color w:val="000000"/>
                <w:sz w:val="24"/>
              </w:rPr>
            </w:pPr>
            <w:r>
              <w:rPr>
                <w:rFonts w:hint="eastAsia"/>
                <w:color w:val="000000"/>
                <w:sz w:val="24"/>
              </w:rPr>
              <w:t>具有</w:t>
            </w:r>
            <w:r>
              <w:rPr>
                <w:color w:val="000000"/>
                <w:sz w:val="24"/>
              </w:rPr>
              <w:t>住房和城乡建设</w:t>
            </w:r>
            <w:r>
              <w:rPr>
                <w:rFonts w:hint="eastAsia"/>
                <w:color w:val="000000"/>
                <w:sz w:val="24"/>
              </w:rPr>
              <w:t>主管部门核发的有效的安全生产许可证</w:t>
            </w:r>
            <w:bookmarkEnd w:id="6"/>
            <w:r>
              <w:rPr>
                <w:rFonts w:hint="eastAsia"/>
                <w:color w:val="000000"/>
                <w:sz w:val="24"/>
              </w:rPr>
              <w:t>；</w:t>
            </w:r>
          </w:p>
          <w:p w14:paraId="3785C55D">
            <w:pPr>
              <w:spacing w:line="276" w:lineRule="auto"/>
              <w:ind w:firstLine="360" w:firstLineChars="150"/>
              <w:rPr>
                <w:rFonts w:hint="eastAsia"/>
                <w:color w:val="000000"/>
                <w:sz w:val="24"/>
              </w:rPr>
            </w:pPr>
            <w:r>
              <w:rPr>
                <w:rFonts w:hint="eastAsia"/>
                <w:color w:val="000000"/>
                <w:sz w:val="24"/>
              </w:rPr>
              <w:t>以联合体形式投标的，联合体所有成员总数量不得超过2家，联合体应满足本项规定的资格条件。</w:t>
            </w:r>
          </w:p>
        </w:tc>
      </w:tr>
      <w:tr w14:paraId="63A9E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5000" w:type="pct"/>
            <w:vMerge w:val="continue"/>
            <w:tcBorders>
              <w:left w:val="single" w:color="auto" w:sz="4" w:space="0"/>
              <w:bottom w:val="single" w:color="auto" w:sz="4" w:space="0"/>
              <w:right w:val="single" w:color="auto" w:sz="4" w:space="0"/>
            </w:tcBorders>
            <w:vAlign w:val="center"/>
          </w:tcPr>
          <w:p w14:paraId="436DBAF4">
            <w:pPr>
              <w:spacing w:line="240" w:lineRule="exact"/>
              <w:ind w:firstLine="360" w:firstLineChars="150"/>
              <w:rPr>
                <w:rFonts w:hint="eastAsia"/>
                <w:color w:val="000000"/>
                <w:sz w:val="24"/>
              </w:rPr>
            </w:pPr>
          </w:p>
        </w:tc>
      </w:tr>
    </w:tbl>
    <w:p w14:paraId="091FE531">
      <w:pPr>
        <w:spacing w:before="156" w:beforeLines="50" w:after="156" w:afterLines="50" w:line="360" w:lineRule="auto"/>
        <w:jc w:val="center"/>
        <w:rPr>
          <w:rFonts w:hint="eastAsia"/>
          <w:b/>
          <w:color w:val="000000"/>
          <w:sz w:val="24"/>
        </w:rPr>
      </w:pPr>
    </w:p>
    <w:p w14:paraId="27A82D71">
      <w:pPr>
        <w:spacing w:before="156" w:beforeLines="50" w:after="156" w:afterLines="50" w:line="360" w:lineRule="auto"/>
        <w:jc w:val="center"/>
        <w:rPr>
          <w:rFonts w:hint="eastAsia"/>
          <w:b/>
          <w:color w:val="000000"/>
          <w:sz w:val="24"/>
        </w:rPr>
      </w:pPr>
      <w:r>
        <w:rPr>
          <w:rFonts w:hint="eastAsia"/>
          <w:b/>
          <w:color w:val="000000"/>
          <w:sz w:val="24"/>
        </w:rPr>
        <w:t>附录2 资格审查条件（</w:t>
      </w:r>
      <w:bookmarkStart w:id="7" w:name="_Hlk194509117"/>
      <w:r>
        <w:rPr>
          <w:rFonts w:hint="eastAsia"/>
          <w:b/>
          <w:color w:val="000000"/>
          <w:sz w:val="24"/>
        </w:rPr>
        <w:t>财务最低要求</w:t>
      </w:r>
      <w:bookmarkEnd w:id="7"/>
      <w:r>
        <w:rPr>
          <w:rFonts w:hint="eastAsia"/>
          <w:b/>
          <w:color w:val="000000"/>
          <w:sz w:val="24"/>
        </w:rPr>
        <w:t>）</w:t>
      </w:r>
    </w:p>
    <w:tbl>
      <w:tblPr>
        <w:tblStyle w:val="15"/>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2"/>
      </w:tblGrid>
      <w:tr w14:paraId="3EEF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vAlign w:val="center"/>
          </w:tcPr>
          <w:p w14:paraId="79E41B11">
            <w:pPr>
              <w:jc w:val="center"/>
              <w:rPr>
                <w:rFonts w:hint="eastAsia"/>
                <w:b/>
                <w:color w:val="000000"/>
                <w:sz w:val="24"/>
              </w:rPr>
            </w:pPr>
            <w:r>
              <w:rPr>
                <w:rFonts w:hint="eastAsia"/>
                <w:b/>
                <w:color w:val="000000"/>
                <w:sz w:val="24"/>
              </w:rPr>
              <w:t>财务要求</w:t>
            </w:r>
          </w:p>
        </w:tc>
      </w:tr>
      <w:tr w14:paraId="0ED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5000" w:type="pct"/>
            <w:vAlign w:val="center"/>
          </w:tcPr>
          <w:p w14:paraId="010CD8EB">
            <w:pPr>
              <w:spacing w:line="276" w:lineRule="auto"/>
              <w:ind w:firstLine="480" w:firstLineChars="200"/>
              <w:rPr>
                <w:rFonts w:hint="eastAsia"/>
                <w:color w:val="000000"/>
                <w:sz w:val="24"/>
              </w:rPr>
            </w:pPr>
            <w:bookmarkStart w:id="8" w:name="_Hlk194509134"/>
            <w:r>
              <w:rPr>
                <w:rFonts w:hint="eastAsia"/>
                <w:color w:val="000000"/>
                <w:sz w:val="24"/>
              </w:rPr>
              <w:t>为本合同所提供的营运资金(以经会计事务所或审计机构审计的最新财务报表（2024或2025年度)中：</w:t>
            </w:r>
            <w:r>
              <w:rPr>
                <w:color w:val="000000"/>
                <w:sz w:val="24"/>
              </w:rPr>
              <w:t>营运资金</w:t>
            </w:r>
            <w:r>
              <w:rPr>
                <w:rFonts w:hint="eastAsia"/>
                <w:color w:val="000000"/>
                <w:sz w:val="24"/>
              </w:rPr>
              <w:t>＝流动资产－流动负债，以年末数计算)以及为本合同而专门开具的银行信贷证明，总和不得少于20</w:t>
            </w:r>
            <w:r>
              <w:rPr>
                <w:color w:val="000000"/>
                <w:sz w:val="24"/>
              </w:rPr>
              <w:t>00</w:t>
            </w:r>
            <w:r>
              <w:rPr>
                <w:rFonts w:hint="eastAsia"/>
                <w:color w:val="000000"/>
                <w:sz w:val="24"/>
              </w:rPr>
              <w:t>万元</w:t>
            </w:r>
            <w:bookmarkEnd w:id="8"/>
            <w:r>
              <w:rPr>
                <w:rFonts w:hint="eastAsia"/>
                <w:color w:val="000000"/>
                <w:sz w:val="24"/>
              </w:rPr>
              <w:t>。</w:t>
            </w:r>
          </w:p>
          <w:p w14:paraId="64EA6278">
            <w:pPr>
              <w:spacing w:line="276" w:lineRule="auto"/>
              <w:ind w:firstLine="480" w:firstLineChars="200"/>
              <w:rPr>
                <w:rFonts w:hint="eastAsia"/>
                <w:color w:val="000000"/>
                <w:sz w:val="24"/>
              </w:rPr>
            </w:pPr>
            <w:r>
              <w:rPr>
                <w:rFonts w:hint="eastAsia"/>
                <w:color w:val="000000"/>
                <w:sz w:val="24"/>
              </w:rPr>
              <w:t>以联合体形式投标的，联合体应满足本项规定的资格条件。</w:t>
            </w:r>
          </w:p>
        </w:tc>
      </w:tr>
    </w:tbl>
    <w:p w14:paraId="725D5843">
      <w:pPr>
        <w:spacing w:before="156" w:beforeLines="50" w:after="156" w:afterLines="50" w:line="360" w:lineRule="auto"/>
        <w:jc w:val="center"/>
        <w:rPr>
          <w:rFonts w:hint="eastAsia"/>
          <w:b/>
          <w:color w:val="000000"/>
          <w:sz w:val="24"/>
        </w:rPr>
      </w:pPr>
    </w:p>
    <w:p w14:paraId="020FED0B">
      <w:pPr>
        <w:spacing w:before="156" w:beforeLines="50" w:after="156" w:afterLines="50" w:line="360" w:lineRule="auto"/>
        <w:jc w:val="center"/>
        <w:rPr>
          <w:rFonts w:hint="eastAsia"/>
          <w:b/>
          <w:color w:val="000000"/>
          <w:sz w:val="24"/>
        </w:rPr>
      </w:pPr>
      <w:r>
        <w:rPr>
          <w:rFonts w:hint="eastAsia"/>
          <w:b/>
          <w:color w:val="000000"/>
          <w:sz w:val="24"/>
        </w:rPr>
        <w:t>附录</w:t>
      </w:r>
      <w:r>
        <w:rPr>
          <w:b/>
          <w:color w:val="000000"/>
          <w:sz w:val="24"/>
        </w:rPr>
        <w:t xml:space="preserve">3 </w:t>
      </w:r>
      <w:r>
        <w:rPr>
          <w:rFonts w:hint="eastAsia"/>
          <w:b/>
          <w:color w:val="000000"/>
          <w:sz w:val="24"/>
        </w:rPr>
        <w:t>资格审查条件（</w:t>
      </w:r>
      <w:bookmarkStart w:id="9" w:name="_Hlk194509166"/>
      <w:r>
        <w:rPr>
          <w:rFonts w:hint="eastAsia"/>
          <w:b/>
          <w:color w:val="000000"/>
          <w:sz w:val="24"/>
        </w:rPr>
        <w:t>业绩最低要求</w:t>
      </w:r>
      <w:bookmarkEnd w:id="9"/>
      <w:r>
        <w:rPr>
          <w:rFonts w:hint="eastAsia"/>
          <w:b/>
          <w:color w:val="000000"/>
          <w:sz w:val="24"/>
        </w:rPr>
        <w:t>）</w:t>
      </w:r>
    </w:p>
    <w:tbl>
      <w:tblPr>
        <w:tblStyle w:val="15"/>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19"/>
      </w:tblGrid>
      <w:tr w14:paraId="420B7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00" w:type="pct"/>
            <w:tcBorders>
              <w:top w:val="single" w:color="auto" w:sz="4" w:space="0"/>
              <w:left w:val="single" w:color="auto" w:sz="4" w:space="0"/>
              <w:bottom w:val="single" w:color="auto" w:sz="4" w:space="0"/>
              <w:right w:val="single" w:color="auto" w:sz="4" w:space="0"/>
            </w:tcBorders>
            <w:vAlign w:val="center"/>
          </w:tcPr>
          <w:p w14:paraId="38056549">
            <w:pPr>
              <w:jc w:val="center"/>
              <w:rPr>
                <w:rFonts w:hint="eastAsia"/>
                <w:b/>
                <w:color w:val="000000"/>
                <w:sz w:val="24"/>
              </w:rPr>
            </w:pPr>
            <w:r>
              <w:rPr>
                <w:rFonts w:hint="eastAsia"/>
                <w:b/>
                <w:color w:val="000000"/>
                <w:sz w:val="24"/>
              </w:rPr>
              <w:t>业绩要求</w:t>
            </w:r>
          </w:p>
        </w:tc>
      </w:tr>
      <w:tr w14:paraId="6FEBF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4" w:hRule="atLeast"/>
        </w:trPr>
        <w:tc>
          <w:tcPr>
            <w:tcW w:w="5000" w:type="pct"/>
            <w:tcBorders>
              <w:top w:val="single" w:color="auto" w:sz="4" w:space="0"/>
              <w:left w:val="single" w:color="auto" w:sz="4" w:space="0"/>
              <w:bottom w:val="single" w:color="auto" w:sz="4" w:space="0"/>
              <w:right w:val="single" w:color="auto" w:sz="4" w:space="0"/>
            </w:tcBorders>
            <w:vAlign w:val="center"/>
          </w:tcPr>
          <w:p w14:paraId="4C7D0D20">
            <w:pPr>
              <w:spacing w:line="276" w:lineRule="auto"/>
              <w:ind w:firstLine="480" w:firstLineChars="200"/>
              <w:rPr>
                <w:rFonts w:hint="eastAsia"/>
                <w:color w:val="000000"/>
                <w:sz w:val="24"/>
              </w:rPr>
            </w:pPr>
            <w:bookmarkStart w:id="10" w:name="_Hlk194509181"/>
            <w:r>
              <w:rPr>
                <w:rFonts w:hint="eastAsia"/>
                <w:color w:val="000000"/>
                <w:sz w:val="24"/>
              </w:rPr>
              <w:t>近</w:t>
            </w:r>
            <w:r>
              <w:rPr>
                <w:color w:val="000000"/>
                <w:sz w:val="24"/>
              </w:rPr>
              <w:t>5年内（202</w:t>
            </w:r>
            <w:r>
              <w:rPr>
                <w:rFonts w:hint="eastAsia"/>
                <w:color w:val="000000"/>
                <w:sz w:val="24"/>
              </w:rPr>
              <w:t>1</w:t>
            </w:r>
            <w:r>
              <w:rPr>
                <w:color w:val="000000"/>
                <w:sz w:val="24"/>
              </w:rPr>
              <w:t>年</w:t>
            </w:r>
            <w:r>
              <w:rPr>
                <w:rFonts w:hint="eastAsia"/>
                <w:color w:val="000000"/>
                <w:sz w:val="24"/>
              </w:rPr>
              <w:t>4月1日</w:t>
            </w:r>
            <w:r>
              <w:rPr>
                <w:color w:val="000000"/>
                <w:sz w:val="24"/>
              </w:rPr>
              <w:t>至今，</w:t>
            </w:r>
            <w:bookmarkStart w:id="11" w:name="_Hlk194510001"/>
            <w:r>
              <w:rPr>
                <w:rFonts w:hint="eastAsia"/>
                <w:color w:val="000000"/>
                <w:sz w:val="24"/>
              </w:rPr>
              <w:t>以工程交工或一阶段竣（交）工日期为准</w:t>
            </w:r>
            <w:bookmarkEnd w:id="11"/>
            <w:r>
              <w:rPr>
                <w:color w:val="000000"/>
                <w:sz w:val="24"/>
              </w:rPr>
              <w:t>），至少完成过1项</w:t>
            </w:r>
            <w:r>
              <w:rPr>
                <w:rFonts w:hint="eastAsia"/>
                <w:color w:val="000000"/>
                <w:sz w:val="24"/>
              </w:rPr>
              <w:t>高速公路养护工程（含路基或路面）</w:t>
            </w:r>
            <w:r>
              <w:rPr>
                <w:color w:val="000000"/>
                <w:sz w:val="24"/>
              </w:rPr>
              <w:t>施工</w:t>
            </w:r>
            <w:r>
              <w:rPr>
                <w:rFonts w:hint="eastAsia"/>
                <w:color w:val="000000"/>
                <w:sz w:val="24"/>
              </w:rPr>
              <w:t>业绩；</w:t>
            </w:r>
          </w:p>
          <w:p w14:paraId="746D5492">
            <w:pPr>
              <w:spacing w:line="276" w:lineRule="auto"/>
              <w:ind w:firstLine="480" w:firstLineChars="200"/>
              <w:rPr>
                <w:rFonts w:hint="eastAsia"/>
                <w:color w:val="000000"/>
                <w:sz w:val="24"/>
              </w:rPr>
            </w:pPr>
            <w:r>
              <w:rPr>
                <w:rFonts w:hint="eastAsia"/>
                <w:color w:val="000000"/>
                <w:sz w:val="24"/>
              </w:rPr>
              <w:t>近5年内（2021年4月1日至今，以工程交工或一阶段竣（交）工日期为准），至少完成过1项高速公路机电工程施工业绩。</w:t>
            </w:r>
            <w:bookmarkEnd w:id="10"/>
          </w:p>
          <w:p w14:paraId="21525DFA">
            <w:pPr>
              <w:spacing w:line="276" w:lineRule="auto"/>
              <w:ind w:firstLine="480" w:firstLineChars="200"/>
              <w:rPr>
                <w:rFonts w:hint="eastAsia"/>
                <w:color w:val="000000"/>
                <w:sz w:val="24"/>
              </w:rPr>
            </w:pPr>
            <w:r>
              <w:rPr>
                <w:rFonts w:hint="eastAsia"/>
                <w:color w:val="000000"/>
                <w:sz w:val="24"/>
              </w:rPr>
              <w:t>以联合体形式投标的，联合体应满足本项规定的资格条件。</w:t>
            </w:r>
          </w:p>
        </w:tc>
      </w:tr>
    </w:tbl>
    <w:p w14:paraId="4ADE70E6">
      <w:pPr>
        <w:spacing w:before="156" w:beforeLines="50" w:after="156" w:afterLines="50" w:line="360" w:lineRule="auto"/>
        <w:jc w:val="center"/>
        <w:rPr>
          <w:rFonts w:hint="eastAsia"/>
          <w:b/>
          <w:color w:val="000000"/>
          <w:sz w:val="24"/>
        </w:rPr>
      </w:pPr>
    </w:p>
    <w:p w14:paraId="529E1613">
      <w:pPr>
        <w:spacing w:before="156" w:beforeLines="50" w:after="156" w:afterLines="50" w:line="360" w:lineRule="auto"/>
        <w:jc w:val="center"/>
        <w:rPr>
          <w:rFonts w:hint="eastAsia"/>
          <w:b/>
          <w:color w:val="000000"/>
          <w:sz w:val="24"/>
        </w:rPr>
      </w:pPr>
      <w:r>
        <w:rPr>
          <w:rFonts w:hint="eastAsia"/>
          <w:b/>
          <w:color w:val="000000"/>
          <w:sz w:val="24"/>
        </w:rPr>
        <w:br w:type="page"/>
      </w:r>
      <w:r>
        <w:rPr>
          <w:rFonts w:hint="eastAsia"/>
          <w:b/>
          <w:color w:val="000000"/>
          <w:sz w:val="24"/>
        </w:rPr>
        <w:t>附录4 资格审查条件（</w:t>
      </w:r>
      <w:bookmarkStart w:id="12" w:name="_Hlk194509220"/>
      <w:r>
        <w:rPr>
          <w:rFonts w:hint="eastAsia"/>
          <w:b/>
          <w:color w:val="000000"/>
          <w:sz w:val="24"/>
        </w:rPr>
        <w:t>信誉最低要求</w:t>
      </w:r>
      <w:bookmarkEnd w:id="12"/>
      <w:r>
        <w:rPr>
          <w:rFonts w:hint="eastAsia"/>
          <w:b/>
          <w:color w:val="000000"/>
          <w:sz w:val="24"/>
        </w:rPr>
        <w:t>）</w:t>
      </w:r>
    </w:p>
    <w:tbl>
      <w:tblPr>
        <w:tblStyle w:val="15"/>
        <w:tblW w:w="500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32"/>
      </w:tblGrid>
      <w:tr w14:paraId="42305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5000" w:type="pct"/>
            <w:tcBorders>
              <w:top w:val="single" w:color="auto" w:sz="4" w:space="0"/>
              <w:left w:val="single" w:color="auto" w:sz="4" w:space="0"/>
              <w:bottom w:val="single" w:color="auto" w:sz="4" w:space="0"/>
              <w:right w:val="single" w:color="auto" w:sz="4" w:space="0"/>
            </w:tcBorders>
            <w:vAlign w:val="center"/>
          </w:tcPr>
          <w:p w14:paraId="15C1ADAC">
            <w:pPr>
              <w:jc w:val="center"/>
              <w:rPr>
                <w:rFonts w:hint="eastAsia"/>
                <w:b/>
                <w:bCs/>
                <w:color w:val="000000"/>
                <w:sz w:val="24"/>
              </w:rPr>
            </w:pPr>
            <w:r>
              <w:rPr>
                <w:rFonts w:hint="eastAsia"/>
                <w:b/>
                <w:bCs/>
                <w:color w:val="000000"/>
                <w:sz w:val="24"/>
              </w:rPr>
              <w:t>信誉要求</w:t>
            </w:r>
          </w:p>
        </w:tc>
      </w:tr>
      <w:tr w14:paraId="088F8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5000" w:type="pct"/>
            <w:vMerge w:val="restart"/>
            <w:tcBorders>
              <w:top w:val="single" w:color="auto" w:sz="4" w:space="0"/>
              <w:left w:val="single" w:color="auto" w:sz="4" w:space="0"/>
              <w:right w:val="single" w:color="auto" w:sz="4" w:space="0"/>
            </w:tcBorders>
            <w:vAlign w:val="center"/>
          </w:tcPr>
          <w:p w14:paraId="54DFA289">
            <w:pPr>
              <w:spacing w:line="276" w:lineRule="auto"/>
              <w:ind w:firstLine="480" w:firstLineChars="200"/>
              <w:rPr>
                <w:rFonts w:hint="eastAsia"/>
                <w:color w:val="000000"/>
                <w:sz w:val="24"/>
              </w:rPr>
            </w:pPr>
            <w:bookmarkStart w:id="13" w:name="_Hlk194509295"/>
            <w:r>
              <w:rPr>
                <w:rFonts w:hint="eastAsia"/>
                <w:color w:val="000000"/>
                <w:sz w:val="24"/>
              </w:rPr>
              <w:t>投标人过去1年（2025年4月1日至今）中不曾在高速公路工程项目中违约而被驱逐或因投标人自身的原因而使高速公路工程合同被解除。</w:t>
            </w:r>
            <w:bookmarkEnd w:id="13"/>
          </w:p>
          <w:p w14:paraId="226B4700">
            <w:pPr>
              <w:spacing w:line="276" w:lineRule="auto"/>
              <w:ind w:firstLine="480" w:firstLineChars="200"/>
              <w:rPr>
                <w:rFonts w:hint="eastAsia"/>
                <w:color w:val="000000"/>
                <w:sz w:val="24"/>
              </w:rPr>
            </w:pPr>
            <w:r>
              <w:rPr>
                <w:rFonts w:hint="eastAsia"/>
                <w:color w:val="000000"/>
                <w:sz w:val="24"/>
              </w:rPr>
              <w:t>以联合体形式投标的，联合体各成员应满足本项规定的资格条件。</w:t>
            </w:r>
          </w:p>
        </w:tc>
      </w:tr>
      <w:tr w14:paraId="2FBAE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000" w:type="pct"/>
            <w:vMerge w:val="continue"/>
            <w:tcBorders>
              <w:left w:val="single" w:color="auto" w:sz="4" w:space="0"/>
              <w:bottom w:val="single" w:color="auto" w:sz="4" w:space="0"/>
              <w:right w:val="single" w:color="auto" w:sz="4" w:space="0"/>
            </w:tcBorders>
            <w:vAlign w:val="center"/>
          </w:tcPr>
          <w:p w14:paraId="063B65BE">
            <w:pPr>
              <w:spacing w:line="240" w:lineRule="exact"/>
              <w:rPr>
                <w:rFonts w:hint="eastAsia"/>
                <w:color w:val="000000"/>
                <w:sz w:val="24"/>
              </w:rPr>
            </w:pPr>
          </w:p>
        </w:tc>
      </w:tr>
    </w:tbl>
    <w:p w14:paraId="2FDB9D25">
      <w:pPr>
        <w:spacing w:before="156" w:beforeLines="50" w:after="156" w:afterLines="50"/>
        <w:jc w:val="center"/>
        <w:rPr>
          <w:rFonts w:hint="eastAsia"/>
          <w:b/>
          <w:color w:val="000000"/>
          <w:sz w:val="24"/>
        </w:rPr>
      </w:pPr>
    </w:p>
    <w:p w14:paraId="17286E35">
      <w:pPr>
        <w:spacing w:before="156" w:beforeLines="50" w:after="156" w:afterLines="50"/>
        <w:jc w:val="center"/>
        <w:rPr>
          <w:rFonts w:hint="eastAsia"/>
          <w:b/>
          <w:color w:val="000000"/>
          <w:sz w:val="24"/>
        </w:rPr>
      </w:pPr>
      <w:r>
        <w:rPr>
          <w:rFonts w:hint="eastAsia"/>
          <w:b/>
          <w:color w:val="000000"/>
          <w:sz w:val="24"/>
        </w:rPr>
        <w:t>附录5 资格审查条件（</w:t>
      </w:r>
      <w:bookmarkStart w:id="14" w:name="_Hlk194509431"/>
      <w:r>
        <w:rPr>
          <w:rFonts w:hint="eastAsia"/>
          <w:b/>
          <w:color w:val="000000"/>
          <w:sz w:val="24"/>
        </w:rPr>
        <w:t>项目经理和项目总工最低要求</w:t>
      </w:r>
      <w:bookmarkEnd w:id="14"/>
      <w:r>
        <w:rPr>
          <w:rFonts w:hint="eastAsia"/>
          <w:b/>
          <w:color w:val="000000"/>
          <w:sz w:val="24"/>
        </w:rPr>
        <w:t>）</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827"/>
        <w:gridCol w:w="5340"/>
        <w:gridCol w:w="1215"/>
      </w:tblGrid>
      <w:tr w14:paraId="7350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69" w:type="pct"/>
            <w:vAlign w:val="center"/>
          </w:tcPr>
          <w:p w14:paraId="0518B1F6">
            <w:pPr>
              <w:jc w:val="center"/>
              <w:rPr>
                <w:rFonts w:hint="eastAsia"/>
                <w:color w:val="000000"/>
                <w:sz w:val="24"/>
              </w:rPr>
            </w:pPr>
            <w:bookmarkStart w:id="15" w:name="_Hlk51596344"/>
            <w:r>
              <w:rPr>
                <w:rFonts w:hint="eastAsia"/>
                <w:color w:val="000000"/>
                <w:sz w:val="24"/>
              </w:rPr>
              <w:t>人员</w:t>
            </w:r>
          </w:p>
        </w:tc>
        <w:tc>
          <w:tcPr>
            <w:tcW w:w="485" w:type="pct"/>
            <w:vAlign w:val="center"/>
          </w:tcPr>
          <w:p w14:paraId="1F6FE184">
            <w:pPr>
              <w:jc w:val="center"/>
              <w:rPr>
                <w:rFonts w:hint="eastAsia"/>
                <w:color w:val="000000"/>
                <w:sz w:val="24"/>
              </w:rPr>
            </w:pPr>
            <w:r>
              <w:rPr>
                <w:rFonts w:hint="eastAsia"/>
                <w:color w:val="000000"/>
                <w:sz w:val="24"/>
              </w:rPr>
              <w:t>数量</w:t>
            </w:r>
          </w:p>
        </w:tc>
        <w:tc>
          <w:tcPr>
            <w:tcW w:w="3133" w:type="pct"/>
            <w:vAlign w:val="center"/>
          </w:tcPr>
          <w:p w14:paraId="222B52CE">
            <w:pPr>
              <w:jc w:val="center"/>
              <w:rPr>
                <w:rFonts w:hint="eastAsia"/>
                <w:color w:val="000000"/>
                <w:sz w:val="24"/>
              </w:rPr>
            </w:pPr>
            <w:r>
              <w:rPr>
                <w:rFonts w:hint="eastAsia"/>
                <w:color w:val="000000"/>
                <w:sz w:val="24"/>
              </w:rPr>
              <w:t>资格要求</w:t>
            </w:r>
          </w:p>
        </w:tc>
        <w:tc>
          <w:tcPr>
            <w:tcW w:w="713" w:type="pct"/>
            <w:vAlign w:val="center"/>
          </w:tcPr>
          <w:p w14:paraId="7314781B">
            <w:pPr>
              <w:jc w:val="center"/>
              <w:rPr>
                <w:rFonts w:hint="eastAsia"/>
                <w:color w:val="000000"/>
                <w:sz w:val="24"/>
              </w:rPr>
            </w:pPr>
            <w:r>
              <w:rPr>
                <w:rFonts w:hint="eastAsia"/>
                <w:color w:val="000000"/>
                <w:sz w:val="24"/>
              </w:rPr>
              <w:t>在岗要求</w:t>
            </w:r>
          </w:p>
        </w:tc>
      </w:tr>
      <w:tr w14:paraId="00A7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669" w:type="pct"/>
            <w:vAlign w:val="center"/>
          </w:tcPr>
          <w:p w14:paraId="78B38D32">
            <w:pPr>
              <w:jc w:val="center"/>
              <w:rPr>
                <w:rFonts w:hint="eastAsia"/>
                <w:color w:val="000000"/>
                <w:sz w:val="24"/>
              </w:rPr>
            </w:pPr>
            <w:bookmarkStart w:id="16" w:name="_Hlk51596314"/>
            <w:r>
              <w:rPr>
                <w:rFonts w:hint="eastAsia"/>
                <w:color w:val="000000"/>
                <w:sz w:val="24"/>
              </w:rPr>
              <w:t>项目经理</w:t>
            </w:r>
            <w:bookmarkEnd w:id="16"/>
          </w:p>
        </w:tc>
        <w:tc>
          <w:tcPr>
            <w:tcW w:w="485" w:type="pct"/>
            <w:vAlign w:val="center"/>
          </w:tcPr>
          <w:p w14:paraId="1B3CA456">
            <w:pPr>
              <w:jc w:val="center"/>
              <w:rPr>
                <w:rFonts w:hint="eastAsia"/>
                <w:color w:val="000000"/>
                <w:sz w:val="24"/>
              </w:rPr>
            </w:pPr>
            <w:r>
              <w:rPr>
                <w:rFonts w:hint="eastAsia"/>
                <w:color w:val="000000"/>
                <w:sz w:val="24"/>
              </w:rPr>
              <w:t>1</w:t>
            </w:r>
          </w:p>
        </w:tc>
        <w:tc>
          <w:tcPr>
            <w:tcW w:w="3133" w:type="pct"/>
            <w:vAlign w:val="center"/>
          </w:tcPr>
          <w:p w14:paraId="007943C0">
            <w:pPr>
              <w:adjustRightInd w:val="0"/>
              <w:snapToGrid w:val="0"/>
              <w:spacing w:line="276" w:lineRule="auto"/>
              <w:ind w:firstLine="480" w:firstLineChars="200"/>
              <w:rPr>
                <w:rFonts w:hint="eastAsia"/>
                <w:color w:val="000000"/>
                <w:kern w:val="0"/>
                <w:sz w:val="24"/>
              </w:rPr>
            </w:pPr>
            <w:bookmarkStart w:id="17" w:name="_Hlk194509456"/>
            <w:r>
              <w:rPr>
                <w:rFonts w:hint="eastAsia"/>
                <w:color w:val="000000"/>
                <w:kern w:val="0"/>
                <w:sz w:val="24"/>
              </w:rPr>
              <w:t>工程师，具有“公路工程”专业的“一级建造师注册证书”，建造师注册证书的注册单位须与投标人单位名称一致；具有交通运输行政主管部门颁发的有效的《安全生产考核合格证书》（</w:t>
            </w:r>
            <w:r>
              <w:rPr>
                <w:color w:val="000000"/>
                <w:kern w:val="0"/>
                <w:sz w:val="24"/>
              </w:rPr>
              <w:t>B类），安全生产考核合格证书的登记单位须与投标人单位名称一致；近5年（202</w:t>
            </w:r>
            <w:r>
              <w:rPr>
                <w:rFonts w:hint="eastAsia"/>
                <w:color w:val="000000"/>
                <w:kern w:val="0"/>
                <w:sz w:val="24"/>
              </w:rPr>
              <w:t>1</w:t>
            </w:r>
            <w:r>
              <w:rPr>
                <w:color w:val="000000"/>
                <w:kern w:val="0"/>
                <w:sz w:val="24"/>
              </w:rPr>
              <w:t>年4月1日至今，以工程交工或一阶段竣（交）工日期为准）担任过</w:t>
            </w:r>
            <w:r>
              <w:rPr>
                <w:color w:val="000000"/>
                <w:sz w:val="24"/>
              </w:rPr>
              <w:t>1项</w:t>
            </w:r>
            <w:r>
              <w:rPr>
                <w:rFonts w:hint="eastAsia"/>
                <w:color w:val="000000"/>
                <w:sz w:val="24"/>
              </w:rPr>
              <w:t>高速公路养护工程（含路基或路面）</w:t>
            </w:r>
            <w:r>
              <w:rPr>
                <w:color w:val="000000"/>
                <w:sz w:val="24"/>
              </w:rPr>
              <w:t>施工</w:t>
            </w:r>
            <w:r>
              <w:rPr>
                <w:color w:val="000000"/>
                <w:kern w:val="0"/>
                <w:sz w:val="24"/>
              </w:rPr>
              <w:t>项目的项目经理（或项目副经理或项目总工）。</w:t>
            </w:r>
            <w:bookmarkEnd w:id="17"/>
          </w:p>
        </w:tc>
        <w:tc>
          <w:tcPr>
            <w:tcW w:w="713" w:type="pct"/>
            <w:vMerge w:val="restart"/>
            <w:vAlign w:val="center"/>
          </w:tcPr>
          <w:p w14:paraId="4728BB52">
            <w:pPr>
              <w:adjustRightInd w:val="0"/>
              <w:snapToGrid w:val="0"/>
              <w:rPr>
                <w:rFonts w:hint="eastAsia"/>
                <w:color w:val="000000"/>
                <w:kern w:val="0"/>
                <w:sz w:val="24"/>
              </w:rPr>
            </w:pPr>
            <w:r>
              <w:rPr>
                <w:rFonts w:hint="eastAsia"/>
                <w:color w:val="000000"/>
                <w:kern w:val="0"/>
                <w:sz w:val="24"/>
              </w:rPr>
              <w:t>未在其他项目上任职，或虽在其他项目上任职但本项目中标后能够从该项目撤离</w:t>
            </w:r>
          </w:p>
        </w:tc>
      </w:tr>
      <w:tr w14:paraId="1FDD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669" w:type="pct"/>
            <w:vAlign w:val="center"/>
          </w:tcPr>
          <w:p w14:paraId="25238062">
            <w:pPr>
              <w:jc w:val="center"/>
              <w:rPr>
                <w:rFonts w:hint="eastAsia"/>
                <w:color w:val="000000"/>
                <w:sz w:val="24"/>
              </w:rPr>
            </w:pPr>
            <w:bookmarkStart w:id="18" w:name="_Hlk194509501"/>
            <w:r>
              <w:rPr>
                <w:rFonts w:hint="eastAsia"/>
                <w:color w:val="000000"/>
                <w:sz w:val="24"/>
              </w:rPr>
              <w:t>项目总工</w:t>
            </w:r>
            <w:bookmarkEnd w:id="18"/>
          </w:p>
        </w:tc>
        <w:tc>
          <w:tcPr>
            <w:tcW w:w="485" w:type="pct"/>
            <w:vAlign w:val="center"/>
          </w:tcPr>
          <w:p w14:paraId="5E010060">
            <w:pPr>
              <w:jc w:val="center"/>
              <w:rPr>
                <w:rFonts w:hint="eastAsia"/>
                <w:color w:val="000000"/>
                <w:sz w:val="24"/>
              </w:rPr>
            </w:pPr>
            <w:r>
              <w:rPr>
                <w:rFonts w:hint="eastAsia"/>
                <w:color w:val="000000"/>
                <w:sz w:val="24"/>
              </w:rPr>
              <w:t>1</w:t>
            </w:r>
          </w:p>
        </w:tc>
        <w:tc>
          <w:tcPr>
            <w:tcW w:w="3133" w:type="pct"/>
            <w:vAlign w:val="center"/>
          </w:tcPr>
          <w:p w14:paraId="677840DF">
            <w:pPr>
              <w:adjustRightInd w:val="0"/>
              <w:snapToGrid w:val="0"/>
              <w:spacing w:line="276" w:lineRule="auto"/>
              <w:ind w:firstLine="480" w:firstLineChars="200"/>
              <w:rPr>
                <w:rFonts w:hint="eastAsia"/>
                <w:color w:val="000000"/>
                <w:sz w:val="24"/>
              </w:rPr>
            </w:pPr>
            <w:bookmarkStart w:id="19" w:name="_Hlk194509510"/>
            <w:r>
              <w:rPr>
                <w:rFonts w:hint="eastAsia"/>
                <w:color w:val="000000"/>
                <w:sz w:val="24"/>
              </w:rPr>
              <w:t>高级工程师，近</w:t>
            </w:r>
            <w:r>
              <w:rPr>
                <w:color w:val="000000"/>
                <w:sz w:val="24"/>
              </w:rPr>
              <w:t>5年（202</w:t>
            </w:r>
            <w:r>
              <w:rPr>
                <w:rFonts w:hint="eastAsia"/>
                <w:color w:val="000000"/>
                <w:sz w:val="24"/>
              </w:rPr>
              <w:t>1</w:t>
            </w:r>
            <w:r>
              <w:rPr>
                <w:color w:val="000000"/>
                <w:sz w:val="24"/>
              </w:rPr>
              <w:t>年4月1日至今，以工程交工或一阶段竣（交）工日期为准）担任过1项</w:t>
            </w:r>
            <w:r>
              <w:rPr>
                <w:rFonts w:hint="eastAsia"/>
                <w:color w:val="000000"/>
                <w:sz w:val="24"/>
              </w:rPr>
              <w:t>高速公路养护工程（含路基或路面）</w:t>
            </w:r>
            <w:r>
              <w:rPr>
                <w:color w:val="000000"/>
                <w:kern w:val="0"/>
                <w:sz w:val="24"/>
              </w:rPr>
              <w:t>的</w:t>
            </w:r>
            <w:r>
              <w:rPr>
                <w:color w:val="000000"/>
                <w:sz w:val="24"/>
              </w:rPr>
              <w:t>项目总工（或项目副总工）。</w:t>
            </w:r>
            <w:bookmarkEnd w:id="19"/>
          </w:p>
        </w:tc>
        <w:tc>
          <w:tcPr>
            <w:tcW w:w="713" w:type="pct"/>
            <w:vMerge w:val="continue"/>
            <w:vAlign w:val="center"/>
          </w:tcPr>
          <w:p w14:paraId="0B5D9304">
            <w:pPr>
              <w:adjustRightInd w:val="0"/>
              <w:snapToGrid w:val="0"/>
              <w:ind w:firstLine="480" w:firstLineChars="200"/>
              <w:rPr>
                <w:rFonts w:hint="eastAsia" w:cs="Arial"/>
                <w:color w:val="000000"/>
                <w:kern w:val="0"/>
                <w:sz w:val="24"/>
              </w:rPr>
            </w:pPr>
          </w:p>
        </w:tc>
      </w:tr>
      <w:bookmarkEnd w:id="15"/>
    </w:tbl>
    <w:p w14:paraId="17F8FB60">
      <w:pPr>
        <w:spacing w:line="360" w:lineRule="auto"/>
        <w:rPr>
          <w:rFonts w:hint="eastAsia"/>
          <w:b/>
          <w:color w:val="000000"/>
          <w:sz w:val="24"/>
        </w:rPr>
      </w:pPr>
      <w:r>
        <w:rPr>
          <w:rFonts w:cs="宋体"/>
          <w:b/>
          <w:bCs/>
          <w:color w:val="000000"/>
          <w:kern w:val="0"/>
          <w:sz w:val="24"/>
        </w:rPr>
        <w:br w:type="page"/>
      </w:r>
      <w:bookmarkStart w:id="20" w:name="_Hlk164960221"/>
      <w:r>
        <w:rPr>
          <w:rFonts w:hint="eastAsia"/>
          <w:b/>
          <w:color w:val="000000"/>
          <w:sz w:val="24"/>
        </w:rPr>
        <w:t>附件</w:t>
      </w:r>
      <w:r>
        <w:rPr>
          <w:b/>
          <w:color w:val="000000"/>
          <w:sz w:val="24"/>
        </w:rPr>
        <w:t>2</w:t>
      </w:r>
      <w:r>
        <w:rPr>
          <w:rFonts w:hint="eastAsia"/>
          <w:b/>
          <w:color w:val="000000"/>
          <w:sz w:val="24"/>
        </w:rPr>
        <w:t>：随机确定评标基准价计算方法的规则与程序</w:t>
      </w:r>
    </w:p>
    <w:p w14:paraId="45D05A2E">
      <w:pPr>
        <w:spacing w:line="460" w:lineRule="exact"/>
        <w:ind w:firstLine="640"/>
        <w:rPr>
          <w:rFonts w:hint="eastAsia"/>
          <w:color w:val="000000"/>
          <w:sz w:val="24"/>
        </w:rPr>
      </w:pPr>
      <w:bookmarkStart w:id="21" w:name="_Hlk95295302"/>
      <w:r>
        <w:rPr>
          <w:rFonts w:hint="eastAsia"/>
          <w:color w:val="000000"/>
          <w:sz w:val="24"/>
        </w:rPr>
        <w:t>一、随机确定评标基准价计算方法规则</w:t>
      </w:r>
    </w:p>
    <w:p w14:paraId="65207B6A">
      <w:pPr>
        <w:spacing w:line="460" w:lineRule="exact"/>
        <w:ind w:firstLine="640"/>
        <w:rPr>
          <w:rFonts w:hint="eastAsia"/>
          <w:color w:val="000000"/>
          <w:sz w:val="24"/>
        </w:rPr>
      </w:pPr>
      <w:r>
        <w:rPr>
          <w:rFonts w:hint="eastAsia"/>
          <w:color w:val="000000"/>
          <w:sz w:val="24"/>
        </w:rPr>
        <w:t>参与随机确定评标基准价计算方法的各方当事人（以下简称“各方”）应当严格遵守以下规则：</w:t>
      </w:r>
    </w:p>
    <w:p w14:paraId="2A2B7025">
      <w:pPr>
        <w:spacing w:line="460" w:lineRule="exact"/>
        <w:ind w:firstLine="640"/>
        <w:rPr>
          <w:rFonts w:hint="eastAsia"/>
          <w:color w:val="000000"/>
          <w:sz w:val="24"/>
        </w:rPr>
      </w:pPr>
      <w:r>
        <w:rPr>
          <w:rFonts w:hint="eastAsia"/>
          <w:color w:val="000000"/>
          <w:sz w:val="24"/>
        </w:rPr>
        <w:t>（一）各方必须严格遵守公开、公平、公正和诚实信用原则；</w:t>
      </w:r>
    </w:p>
    <w:p w14:paraId="5F79FEBA">
      <w:pPr>
        <w:spacing w:line="460" w:lineRule="exact"/>
        <w:ind w:firstLine="640"/>
        <w:rPr>
          <w:rFonts w:hint="eastAsia"/>
          <w:color w:val="000000"/>
          <w:sz w:val="24"/>
        </w:rPr>
      </w:pPr>
      <w:r>
        <w:rPr>
          <w:rFonts w:hint="eastAsia"/>
          <w:color w:val="000000"/>
          <w:sz w:val="24"/>
        </w:rPr>
        <w:t>（二）确定随机确定评标基准价计算方法的活动在招标人的主持下进行，招标人做好影像记录，并存档备查；</w:t>
      </w:r>
    </w:p>
    <w:p w14:paraId="662E03C1">
      <w:pPr>
        <w:spacing w:line="460" w:lineRule="exact"/>
        <w:ind w:firstLine="640"/>
        <w:rPr>
          <w:rFonts w:hint="eastAsia"/>
          <w:color w:val="000000"/>
          <w:sz w:val="24"/>
        </w:rPr>
      </w:pPr>
      <w:r>
        <w:rPr>
          <w:rFonts w:hint="eastAsia"/>
          <w:color w:val="000000"/>
          <w:sz w:val="24"/>
        </w:rPr>
        <w:t>（三）用于随机抽取的器具由招标人提供；</w:t>
      </w:r>
    </w:p>
    <w:p w14:paraId="0E52E952">
      <w:pPr>
        <w:spacing w:line="460" w:lineRule="exact"/>
        <w:ind w:firstLine="640"/>
        <w:rPr>
          <w:rFonts w:hint="eastAsia"/>
          <w:color w:val="000000"/>
          <w:sz w:val="24"/>
        </w:rPr>
      </w:pPr>
      <w:r>
        <w:rPr>
          <w:rFonts w:hint="eastAsia"/>
          <w:color w:val="000000"/>
          <w:sz w:val="24"/>
        </w:rPr>
        <w:t>（四）各方必须严格遵守现场纪律，确保随机确定评标基准价计算方法的活动有序进行。</w:t>
      </w:r>
      <w:bookmarkStart w:id="22" w:name="_Hlk65663181"/>
    </w:p>
    <w:bookmarkEnd w:id="22"/>
    <w:p w14:paraId="1DCD98FA">
      <w:pPr>
        <w:spacing w:line="460" w:lineRule="exact"/>
        <w:ind w:firstLine="640"/>
        <w:rPr>
          <w:rFonts w:hint="eastAsia"/>
          <w:color w:val="000000"/>
          <w:sz w:val="24"/>
        </w:rPr>
      </w:pPr>
      <w:r>
        <w:rPr>
          <w:rFonts w:hint="eastAsia"/>
          <w:color w:val="000000"/>
          <w:sz w:val="24"/>
        </w:rPr>
        <w:t>二、确定随机抽取代码球</w:t>
      </w:r>
    </w:p>
    <w:p w14:paraId="73726C69">
      <w:pPr>
        <w:spacing w:line="460" w:lineRule="exact"/>
        <w:ind w:firstLine="640"/>
        <w:rPr>
          <w:rFonts w:hint="eastAsia"/>
          <w:color w:val="000000"/>
          <w:sz w:val="24"/>
        </w:rPr>
      </w:pPr>
      <w:r>
        <w:rPr>
          <w:rFonts w:hint="eastAsia"/>
          <w:color w:val="000000"/>
          <w:sz w:val="24"/>
        </w:rPr>
        <w:t>用抽取器具随机确定抽取代码球一套，作为本次随机确定评标基准价计算方法的代码球。</w:t>
      </w:r>
    </w:p>
    <w:p w14:paraId="07B5DDD3">
      <w:pPr>
        <w:spacing w:line="460" w:lineRule="exact"/>
        <w:ind w:firstLine="640"/>
        <w:rPr>
          <w:rFonts w:hint="eastAsia"/>
          <w:color w:val="000000"/>
          <w:sz w:val="24"/>
        </w:rPr>
      </w:pPr>
      <w:r>
        <w:rPr>
          <w:rFonts w:hint="eastAsia"/>
          <w:color w:val="000000"/>
          <w:sz w:val="24"/>
        </w:rPr>
        <w:t>三、随机确定评标基准价计算方法和所需参数</w:t>
      </w:r>
    </w:p>
    <w:p w14:paraId="670BADDC">
      <w:pPr>
        <w:spacing w:line="460" w:lineRule="exact"/>
        <w:ind w:firstLine="640"/>
        <w:rPr>
          <w:rFonts w:hint="eastAsia"/>
          <w:color w:val="000000"/>
          <w:sz w:val="24"/>
        </w:rPr>
      </w:pPr>
      <w:r>
        <w:rPr>
          <w:rFonts w:hint="eastAsia"/>
          <w:color w:val="000000"/>
          <w:sz w:val="24"/>
        </w:rPr>
        <w:t>（一）本次招标共设置三种评标基准价计算方法（详见评标办法）。在投标文件第一信封（商务及技术文件）开标现场，使用抽取器具随机确定一种评标基准价计算方法，作为本次评标的评标基准价计算方法。将编号为1～3的代码球放入抽取器具，由抽取器具随机抽取1个代码球，1号球代表评标基准价计算方法1；2号球代表评标基准价计算方法2；3号球代表评标基准价计算方法3。</w:t>
      </w:r>
    </w:p>
    <w:p w14:paraId="4619B254">
      <w:pPr>
        <w:spacing w:line="460" w:lineRule="exact"/>
        <w:ind w:firstLine="640"/>
        <w:rPr>
          <w:rFonts w:hint="eastAsia"/>
          <w:color w:val="000000"/>
          <w:sz w:val="24"/>
        </w:rPr>
      </w:pPr>
      <w:bookmarkStart w:id="23" w:name="_Hlk70695481"/>
      <w:r>
        <w:rPr>
          <w:rFonts w:hint="eastAsia"/>
          <w:color w:val="000000"/>
          <w:sz w:val="24"/>
        </w:rPr>
        <w:t>（二）根据随机确定的评标基准价计算方法，在投标文件第一信封（商务及技术文件）开标现场，用抽取器具随机抽取评标基准价计算所需的参数K。</w:t>
      </w:r>
    </w:p>
    <w:bookmarkEnd w:id="23"/>
    <w:p w14:paraId="62DB1F73">
      <w:pPr>
        <w:spacing w:line="460" w:lineRule="exact"/>
        <w:ind w:firstLine="640"/>
        <w:rPr>
          <w:rFonts w:hint="eastAsia"/>
          <w:color w:val="000000"/>
          <w:sz w:val="24"/>
        </w:rPr>
      </w:pPr>
      <w:bookmarkStart w:id="24" w:name="_Hlk95468522"/>
      <w:r>
        <w:rPr>
          <w:rFonts w:hint="eastAsia"/>
          <w:color w:val="000000"/>
          <w:sz w:val="24"/>
        </w:rPr>
        <w:t>1、如果抽取的评标基准价计算方法为方法1，则需要抽取评标基准价系数K。</w:t>
      </w:r>
    </w:p>
    <w:p w14:paraId="0B525DF1">
      <w:pPr>
        <w:spacing w:line="460" w:lineRule="exact"/>
        <w:ind w:firstLine="640"/>
        <w:rPr>
          <w:rFonts w:hint="eastAsia"/>
          <w:color w:val="000000"/>
          <w:sz w:val="24"/>
        </w:rPr>
      </w:pPr>
      <w:r>
        <w:rPr>
          <w:rFonts w:hint="eastAsia"/>
          <w:color w:val="000000"/>
          <w:sz w:val="24"/>
        </w:rPr>
        <w:t>K取值范围为</w:t>
      </w:r>
      <w:bookmarkStart w:id="25" w:name="_Hlk70689525"/>
      <w:r>
        <w:rPr>
          <w:rFonts w:hint="eastAsia"/>
          <w:color w:val="000000"/>
          <w:sz w:val="24"/>
        </w:rPr>
        <w:t>0.980、</w:t>
      </w:r>
      <w:bookmarkEnd w:id="25"/>
      <w:r>
        <w:rPr>
          <w:rFonts w:hint="eastAsia"/>
          <w:color w:val="000000"/>
          <w:sz w:val="24"/>
        </w:rPr>
        <w:t>0.985、0.990、0.995、1.00共5个数值。将编号为1～5的代码球放入抽取器具，由抽取器具随机抽取1个代码球，1号球代表K值为0.980；2号球代表K值为0.985；3号球代表K值为0.990；4号球代表K值为0.995，5 号球代表 K值为1.00。在投标文件第一信封（商务及技术文件）开标现场通过随机抽取方式确定一个评标基准价系数 K，并当场公布。</w:t>
      </w:r>
    </w:p>
    <w:p w14:paraId="71EA8DE3">
      <w:pPr>
        <w:spacing w:line="460" w:lineRule="exact"/>
        <w:ind w:firstLine="640"/>
        <w:rPr>
          <w:rFonts w:hint="eastAsia"/>
          <w:color w:val="000000"/>
          <w:sz w:val="24"/>
        </w:rPr>
      </w:pPr>
      <w:r>
        <w:rPr>
          <w:rFonts w:hint="eastAsia"/>
          <w:color w:val="000000"/>
          <w:sz w:val="24"/>
        </w:rPr>
        <w:t>2、如果抽取的评标基准价计算方法为方法2，则需要抽取最高投标限价所占比例系数K。</w:t>
      </w:r>
    </w:p>
    <w:p w14:paraId="4E52252A">
      <w:pPr>
        <w:spacing w:line="460" w:lineRule="exact"/>
        <w:ind w:firstLine="640"/>
        <w:rPr>
          <w:rFonts w:hint="eastAsia"/>
          <w:color w:val="000000"/>
          <w:sz w:val="24"/>
        </w:rPr>
      </w:pPr>
      <w:r>
        <w:rPr>
          <w:rFonts w:hint="eastAsia"/>
          <w:color w:val="000000"/>
          <w:sz w:val="24"/>
        </w:rPr>
        <w:t>K取值范围为0.10、0.15、0.20、0.25、0.30。将编号为1～5的代码球放入抽取器具，由抽取器具随机抽取1个代码球，1号球代表K值为0.10； 2号球代表K值为0.15；3号球代表K值为0.20；4号球代表K值为0.25；5号球代表K值为0.30。</w:t>
      </w:r>
    </w:p>
    <w:p w14:paraId="4068A515">
      <w:pPr>
        <w:spacing w:line="460" w:lineRule="exact"/>
        <w:ind w:firstLine="640"/>
        <w:rPr>
          <w:rFonts w:hint="eastAsia"/>
          <w:color w:val="000000"/>
          <w:sz w:val="24"/>
        </w:rPr>
      </w:pPr>
      <w:r>
        <w:rPr>
          <w:rFonts w:hint="eastAsia"/>
          <w:color w:val="000000"/>
          <w:sz w:val="24"/>
        </w:rPr>
        <w:t>3、如果抽取的评标基准价计算方法为方法3，则不需要抽取系数。</w:t>
      </w:r>
    </w:p>
    <w:bookmarkEnd w:id="24"/>
    <w:p w14:paraId="0991F4E4">
      <w:pPr>
        <w:spacing w:line="460" w:lineRule="exact"/>
        <w:ind w:firstLine="640"/>
        <w:rPr>
          <w:rFonts w:hint="eastAsia"/>
          <w:color w:val="000000"/>
          <w:sz w:val="24"/>
        </w:rPr>
      </w:pPr>
      <w:r>
        <w:rPr>
          <w:rFonts w:hint="eastAsia"/>
          <w:color w:val="000000"/>
          <w:sz w:val="24"/>
        </w:rPr>
        <w:t>四、如果遇到抽取器具发生故障，导致随机确定评标基准价计算方法过程中断时，招标人应及时宣布发生故障之前的随机确定评标基准价计算方法结果有效。宣布前任何人不得随意处理抽取器具，并请招标人对故障发生情况进行书面确认。故障排除或更换抽取器具后，招标人应宣布继续后续的抽取程序。</w:t>
      </w:r>
      <w:bookmarkEnd w:id="21"/>
    </w:p>
    <w:p w14:paraId="3F6C95A3">
      <w:pPr>
        <w:spacing w:line="460" w:lineRule="exact"/>
        <w:ind w:firstLine="640"/>
        <w:rPr>
          <w:rFonts w:hint="eastAsia"/>
          <w:color w:val="000000"/>
          <w:sz w:val="24"/>
        </w:rPr>
      </w:pPr>
    </w:p>
    <w:p w14:paraId="43B55AA4">
      <w:pPr>
        <w:spacing w:line="360" w:lineRule="auto"/>
        <w:rPr>
          <w:rFonts w:hint="eastAsia"/>
          <w:b/>
          <w:color w:val="000000"/>
          <w:sz w:val="24"/>
        </w:rPr>
      </w:pPr>
      <w:r>
        <w:rPr>
          <w:rFonts w:hint="eastAsia"/>
          <w:b/>
          <w:color w:val="000000"/>
          <w:sz w:val="24"/>
        </w:rPr>
        <w:br w:type="page"/>
      </w:r>
      <w:r>
        <w:rPr>
          <w:rFonts w:hint="eastAsia"/>
          <w:b/>
          <w:color w:val="000000"/>
          <w:sz w:val="24"/>
        </w:rPr>
        <w:t>附件3：评标办法</w:t>
      </w:r>
      <w:bookmarkStart w:id="26" w:name="_Toc507171927"/>
      <w:bookmarkStart w:id="27" w:name="_Toc443580475"/>
      <w:r>
        <w:rPr>
          <w:rFonts w:hint="eastAsia"/>
          <w:b/>
          <w:color w:val="000000"/>
          <w:sz w:val="24"/>
        </w:rPr>
        <w:t>前附表</w:t>
      </w:r>
    </w:p>
    <w:bookmarkEnd w:id="2"/>
    <w:bookmarkEnd w:id="26"/>
    <w:bookmarkEnd w:id="27"/>
    <w:tbl>
      <w:tblPr>
        <w:tblStyle w:val="1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14:paraId="1A95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blHeader/>
          <w:jc w:val="center"/>
        </w:trPr>
        <w:tc>
          <w:tcPr>
            <w:tcW w:w="1048" w:type="dxa"/>
            <w:vAlign w:val="center"/>
          </w:tcPr>
          <w:p w14:paraId="1F6329E9">
            <w:pPr>
              <w:jc w:val="center"/>
              <w:rPr>
                <w:rFonts w:hint="eastAsia" w:cs="宋体"/>
                <w:b/>
                <w:color w:val="000000"/>
                <w:sz w:val="24"/>
              </w:rPr>
            </w:pPr>
            <w:r>
              <w:rPr>
                <w:rFonts w:hint="eastAsia" w:cs="宋体"/>
                <w:b/>
                <w:color w:val="000000"/>
                <w:sz w:val="24"/>
              </w:rPr>
              <w:t>条款号</w:t>
            </w:r>
          </w:p>
        </w:tc>
        <w:tc>
          <w:tcPr>
            <w:tcW w:w="1246" w:type="dxa"/>
            <w:vAlign w:val="center"/>
          </w:tcPr>
          <w:p w14:paraId="3A4B8B70">
            <w:pPr>
              <w:jc w:val="center"/>
              <w:rPr>
                <w:rFonts w:hint="eastAsia" w:cs="宋体"/>
                <w:b/>
                <w:color w:val="000000"/>
                <w:sz w:val="24"/>
              </w:rPr>
            </w:pPr>
            <w:r>
              <w:rPr>
                <w:rFonts w:hint="eastAsia" w:cs="宋体"/>
                <w:b/>
                <w:color w:val="000000"/>
                <w:sz w:val="24"/>
              </w:rPr>
              <w:t>条款名称</w:t>
            </w:r>
          </w:p>
        </w:tc>
        <w:tc>
          <w:tcPr>
            <w:tcW w:w="7106" w:type="dxa"/>
            <w:vAlign w:val="center"/>
          </w:tcPr>
          <w:p w14:paraId="7F311F93">
            <w:pPr>
              <w:jc w:val="center"/>
              <w:rPr>
                <w:rFonts w:hint="eastAsia" w:cs="宋体"/>
                <w:b/>
                <w:color w:val="000000"/>
                <w:sz w:val="24"/>
              </w:rPr>
            </w:pPr>
            <w:r>
              <w:rPr>
                <w:rFonts w:hint="eastAsia" w:cs="宋体"/>
                <w:b/>
                <w:color w:val="000000"/>
                <w:sz w:val="24"/>
              </w:rPr>
              <w:t>评审因素与评审标准</w:t>
            </w:r>
          </w:p>
        </w:tc>
      </w:tr>
      <w:tr w14:paraId="367B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6CBAC9B6">
            <w:pPr>
              <w:jc w:val="center"/>
              <w:rPr>
                <w:rFonts w:hint="eastAsia" w:cs="宋体"/>
                <w:color w:val="000000"/>
                <w:sz w:val="24"/>
              </w:rPr>
            </w:pPr>
            <w:r>
              <w:rPr>
                <w:rFonts w:hint="eastAsia" w:cs="宋体"/>
                <w:color w:val="000000"/>
                <w:sz w:val="24"/>
              </w:rPr>
              <w:t>1</w:t>
            </w:r>
          </w:p>
        </w:tc>
        <w:tc>
          <w:tcPr>
            <w:tcW w:w="1246" w:type="dxa"/>
            <w:vAlign w:val="center"/>
          </w:tcPr>
          <w:p w14:paraId="54D935F7">
            <w:pPr>
              <w:jc w:val="center"/>
              <w:rPr>
                <w:rFonts w:hint="eastAsia" w:cs="宋体"/>
                <w:color w:val="000000"/>
                <w:sz w:val="24"/>
              </w:rPr>
            </w:pPr>
            <w:r>
              <w:rPr>
                <w:rFonts w:hint="eastAsia" w:cs="宋体"/>
                <w:color w:val="000000"/>
                <w:sz w:val="24"/>
              </w:rPr>
              <w:t>评标办法</w:t>
            </w:r>
          </w:p>
        </w:tc>
        <w:tc>
          <w:tcPr>
            <w:tcW w:w="7106" w:type="dxa"/>
            <w:vAlign w:val="center"/>
          </w:tcPr>
          <w:p w14:paraId="2BF81F78">
            <w:pPr>
              <w:tabs>
                <w:tab w:val="left" w:pos="3060"/>
              </w:tabs>
              <w:spacing w:line="320" w:lineRule="exact"/>
              <w:ind w:firstLine="420"/>
              <w:rPr>
                <w:rFonts w:hint="eastAsia" w:cs="宋体"/>
                <w:color w:val="000000"/>
                <w:sz w:val="24"/>
              </w:rPr>
            </w:pPr>
            <w:r>
              <w:rPr>
                <w:rFonts w:hint="eastAsia" w:cs="宋体"/>
                <w:color w:val="000000"/>
                <w:sz w:val="24"/>
              </w:rPr>
              <w:t>本款修改为：</w:t>
            </w:r>
          </w:p>
          <w:p w14:paraId="68DC1728">
            <w:pPr>
              <w:tabs>
                <w:tab w:val="left" w:pos="3060"/>
              </w:tabs>
              <w:spacing w:line="320" w:lineRule="exact"/>
              <w:ind w:firstLine="420"/>
              <w:rPr>
                <w:rFonts w:hint="eastAsia" w:cs="宋体"/>
                <w:color w:val="000000"/>
                <w:sz w:val="24"/>
              </w:rPr>
            </w:pPr>
            <w:r>
              <w:rPr>
                <w:rFonts w:hint="eastAsia" w:cs="宋体"/>
                <w:color w:val="000000"/>
                <w:sz w:val="24"/>
              </w:rPr>
              <w:t>本次评标采用技术评分合理低价法，双信封形式。评标委员会对通过第一个信封初步评审的投标文件的施工组织设计、主要人员、其他因素等因素进行评分，按照综合得分由高到低排序，确定前5名投标人进入第二个信封评审。综合得分相等时，以施工组织设计得分较高的投标人优先；施工组织设计得分也相等时，以满足资格审查条件(业绩最低要求)要求的施工业绩累计合同额高的优先。未通过第一个信封（商务及技术文件）初步评审、详细评审和综合得分未进入前5名的投标人，其第二个信封不予开封。</w:t>
            </w:r>
          </w:p>
          <w:p w14:paraId="5E714E31">
            <w:pPr>
              <w:tabs>
                <w:tab w:val="left" w:pos="3060"/>
              </w:tabs>
              <w:spacing w:line="320" w:lineRule="exact"/>
              <w:ind w:firstLine="420"/>
              <w:rPr>
                <w:rFonts w:hint="eastAsia" w:cs="宋体"/>
                <w:color w:val="000000"/>
                <w:sz w:val="24"/>
              </w:rPr>
            </w:pPr>
            <w:r>
              <w:rPr>
                <w:rFonts w:hint="eastAsia" w:cs="宋体"/>
                <w:color w:val="000000"/>
                <w:sz w:val="24"/>
              </w:rPr>
              <w:t>当通过第一个信封初步评审的投标人为5个或少于5个时，评标委员会不再进行打分，均进入第二个信封评审。</w:t>
            </w:r>
          </w:p>
          <w:p w14:paraId="3BD1A6E3">
            <w:pPr>
              <w:tabs>
                <w:tab w:val="left" w:pos="3060"/>
              </w:tabs>
              <w:spacing w:line="320" w:lineRule="exact"/>
              <w:ind w:firstLine="420"/>
              <w:rPr>
                <w:rFonts w:hint="eastAsia" w:cs="宋体"/>
                <w:color w:val="000000"/>
                <w:sz w:val="24"/>
              </w:rPr>
            </w:pPr>
            <w:r>
              <w:rPr>
                <w:rFonts w:hint="eastAsia" w:cs="宋体"/>
                <w:color w:val="000000"/>
                <w:sz w:val="24"/>
              </w:rPr>
              <w:t>评标委员会对第二个信封进行评审，对投标人评标价进行打分，按照通过第二个信封评审的投标人评标价得分由高到低的顺序推荐1-3名中标候选人。评标价得分相等时，评标委员会依次按照以下优先顺序推荐中标候选人：</w:t>
            </w:r>
          </w:p>
          <w:p w14:paraId="74FC1A51">
            <w:pPr>
              <w:tabs>
                <w:tab w:val="left" w:pos="3060"/>
              </w:tabs>
              <w:spacing w:line="320" w:lineRule="exact"/>
              <w:rPr>
                <w:rFonts w:hint="eastAsia" w:cs="宋体"/>
                <w:color w:val="000000"/>
                <w:sz w:val="24"/>
              </w:rPr>
            </w:pPr>
            <w:r>
              <w:rPr>
                <w:rFonts w:hint="eastAsia" w:cs="宋体"/>
                <w:color w:val="000000"/>
                <w:sz w:val="24"/>
              </w:rPr>
              <w:t>（1）评标价较低的投标人优先；</w:t>
            </w:r>
          </w:p>
          <w:p w14:paraId="068A9D0D">
            <w:pPr>
              <w:tabs>
                <w:tab w:val="left" w:pos="3060"/>
              </w:tabs>
              <w:spacing w:line="320" w:lineRule="exact"/>
              <w:rPr>
                <w:rFonts w:hint="eastAsia" w:cs="宋体"/>
                <w:color w:val="000000"/>
                <w:sz w:val="24"/>
              </w:rPr>
            </w:pPr>
            <w:r>
              <w:rPr>
                <w:rFonts w:hint="eastAsia" w:cs="宋体"/>
                <w:color w:val="000000"/>
                <w:sz w:val="24"/>
              </w:rPr>
              <w:t>（2）施工组织设计得分较高的投标人优先；</w:t>
            </w:r>
          </w:p>
          <w:p w14:paraId="0EB7A683">
            <w:pPr>
              <w:rPr>
                <w:rFonts w:hint="eastAsia" w:cs="宋体"/>
                <w:color w:val="000000"/>
                <w:sz w:val="24"/>
              </w:rPr>
            </w:pPr>
            <w:r>
              <w:rPr>
                <w:rFonts w:hint="eastAsia" w:cs="宋体"/>
                <w:color w:val="000000"/>
                <w:sz w:val="24"/>
              </w:rPr>
              <w:t>（3）满足资格审查条件(业绩最低要求)要求的施工业绩累计合同额高的优先。</w:t>
            </w:r>
          </w:p>
        </w:tc>
      </w:tr>
      <w:tr w14:paraId="5400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3E8AC79A">
            <w:pPr>
              <w:jc w:val="center"/>
              <w:rPr>
                <w:rFonts w:hint="eastAsia" w:cs="宋体"/>
                <w:color w:val="000000"/>
                <w:sz w:val="24"/>
              </w:rPr>
            </w:pPr>
            <w:r>
              <w:rPr>
                <w:rFonts w:cs="宋体"/>
                <w:color w:val="000000"/>
                <w:sz w:val="24"/>
              </w:rPr>
              <w:t>2.1.1</w:t>
            </w:r>
          </w:p>
          <w:p w14:paraId="6D182813">
            <w:pPr>
              <w:jc w:val="center"/>
              <w:rPr>
                <w:rFonts w:hint="eastAsia" w:cs="宋体"/>
                <w:color w:val="000000"/>
                <w:sz w:val="24"/>
              </w:rPr>
            </w:pPr>
            <w:r>
              <w:rPr>
                <w:rFonts w:cs="宋体"/>
                <w:color w:val="000000"/>
                <w:sz w:val="24"/>
              </w:rPr>
              <w:t>2.1.3</w:t>
            </w:r>
          </w:p>
        </w:tc>
        <w:tc>
          <w:tcPr>
            <w:tcW w:w="1246" w:type="dxa"/>
            <w:vAlign w:val="center"/>
          </w:tcPr>
          <w:p w14:paraId="52C64588">
            <w:pPr>
              <w:jc w:val="center"/>
              <w:rPr>
                <w:rFonts w:hint="eastAsia" w:cs="宋体"/>
                <w:color w:val="000000"/>
                <w:sz w:val="24"/>
              </w:rPr>
            </w:pPr>
            <w:r>
              <w:rPr>
                <w:rFonts w:hint="eastAsia" w:cs="宋体"/>
                <w:color w:val="000000"/>
                <w:sz w:val="24"/>
              </w:rPr>
              <w:t>形式评审与响应性评审标准</w:t>
            </w:r>
          </w:p>
        </w:tc>
        <w:tc>
          <w:tcPr>
            <w:tcW w:w="7106" w:type="dxa"/>
          </w:tcPr>
          <w:p w14:paraId="1B664A26">
            <w:pPr>
              <w:tabs>
                <w:tab w:val="left" w:pos="3060"/>
              </w:tabs>
              <w:snapToGrid w:val="0"/>
              <w:spacing w:line="276" w:lineRule="auto"/>
              <w:rPr>
                <w:rFonts w:hint="eastAsia"/>
                <w:bCs/>
                <w:color w:val="000000"/>
                <w:sz w:val="24"/>
              </w:rPr>
            </w:pPr>
            <w:r>
              <w:rPr>
                <w:rFonts w:hint="eastAsia"/>
                <w:bCs/>
                <w:color w:val="000000"/>
                <w:sz w:val="24"/>
              </w:rPr>
              <w:t>第一个信封（商务及技术文件）评审标准：</w:t>
            </w:r>
          </w:p>
          <w:p w14:paraId="3E37622E">
            <w:pPr>
              <w:snapToGrid w:val="0"/>
              <w:spacing w:line="276" w:lineRule="auto"/>
              <w:ind w:firstLine="441" w:firstLineChars="184"/>
              <w:rPr>
                <w:rFonts w:hint="eastAsia"/>
                <w:bCs/>
                <w:color w:val="000000"/>
                <w:sz w:val="24"/>
              </w:rPr>
            </w:pPr>
            <w:r>
              <w:rPr>
                <w:rFonts w:hint="eastAsia"/>
                <w:bCs/>
                <w:color w:val="000000"/>
                <w:sz w:val="24"/>
              </w:rPr>
              <w:t>（1）投标文件按照招标文件规定的格式、内容填写，字迹清晰可辨：</w:t>
            </w:r>
          </w:p>
          <w:p w14:paraId="6DBE5866">
            <w:pPr>
              <w:snapToGrid w:val="0"/>
              <w:spacing w:line="276" w:lineRule="auto"/>
              <w:ind w:firstLine="441" w:firstLineChars="184"/>
              <w:rPr>
                <w:rFonts w:hint="eastAsia"/>
                <w:bCs/>
                <w:color w:val="000000"/>
                <w:sz w:val="24"/>
              </w:rPr>
            </w:pPr>
            <w:r>
              <w:rPr>
                <w:rFonts w:hint="eastAsia"/>
                <w:bCs/>
                <w:color w:val="000000"/>
                <w:sz w:val="24"/>
              </w:rPr>
              <w:t>a.投标函按招标文件规定填报了项目名称、补遗书编号（如有）、工程质量、安全目标、工期、项目经理、项目总工的信息；</w:t>
            </w:r>
          </w:p>
          <w:p w14:paraId="3A522B27">
            <w:pPr>
              <w:snapToGrid w:val="0"/>
              <w:spacing w:line="276" w:lineRule="auto"/>
              <w:ind w:firstLine="441" w:firstLineChars="184"/>
              <w:rPr>
                <w:rFonts w:hint="eastAsia"/>
                <w:bCs/>
                <w:color w:val="000000"/>
                <w:sz w:val="24"/>
              </w:rPr>
            </w:pPr>
            <w:r>
              <w:rPr>
                <w:rFonts w:hint="eastAsia"/>
                <w:bCs/>
                <w:color w:val="000000"/>
                <w:sz w:val="24"/>
              </w:rPr>
              <w:t>b.投标函附录的所有数据均符合招标文件规定；</w:t>
            </w:r>
          </w:p>
          <w:p w14:paraId="7D4E58CC">
            <w:pPr>
              <w:snapToGrid w:val="0"/>
              <w:spacing w:line="276" w:lineRule="auto"/>
              <w:ind w:firstLine="441" w:firstLineChars="184"/>
              <w:rPr>
                <w:rFonts w:hint="eastAsia"/>
                <w:bCs/>
                <w:color w:val="000000"/>
                <w:sz w:val="24"/>
              </w:rPr>
            </w:pPr>
            <w:r>
              <w:rPr>
                <w:rFonts w:hint="eastAsia"/>
                <w:bCs/>
                <w:color w:val="000000"/>
                <w:sz w:val="24"/>
              </w:rPr>
              <w:t>c.投标文件组成齐全完整，内容均按规定填写。</w:t>
            </w:r>
          </w:p>
          <w:p w14:paraId="41B17DF3">
            <w:pPr>
              <w:snapToGrid w:val="0"/>
              <w:spacing w:line="276" w:lineRule="auto"/>
              <w:ind w:firstLine="441" w:firstLineChars="184"/>
              <w:rPr>
                <w:rFonts w:hint="eastAsia"/>
                <w:bCs/>
                <w:color w:val="000000"/>
                <w:sz w:val="24"/>
              </w:rPr>
            </w:pPr>
            <w:r>
              <w:rPr>
                <w:rFonts w:hint="eastAsia"/>
                <w:bCs/>
                <w:color w:val="000000"/>
                <w:sz w:val="24"/>
              </w:rPr>
              <w:t>（2）投标文件上法定代表人或其授权代理人的签字、投标人的单位章盖章齐全，符合招标文件规定。</w:t>
            </w:r>
          </w:p>
          <w:p w14:paraId="5139A639">
            <w:pPr>
              <w:snapToGrid w:val="0"/>
              <w:spacing w:line="276" w:lineRule="auto"/>
              <w:ind w:firstLine="441" w:firstLineChars="184"/>
              <w:rPr>
                <w:rFonts w:hint="eastAsia"/>
                <w:bCs/>
                <w:color w:val="000000"/>
                <w:sz w:val="24"/>
              </w:rPr>
            </w:pPr>
            <w:r>
              <w:rPr>
                <w:rFonts w:hint="eastAsia"/>
                <w:bCs/>
                <w:color w:val="000000"/>
                <w:sz w:val="24"/>
              </w:rPr>
              <w:t>（3）投标人按照招标文件规定的金额、形式、时效和内容提供了投标保证金，投标保证金符合第二章投标人须知3.4.1款规定。</w:t>
            </w:r>
          </w:p>
          <w:p w14:paraId="2BAAB578">
            <w:pPr>
              <w:snapToGrid w:val="0"/>
              <w:spacing w:line="276" w:lineRule="auto"/>
              <w:ind w:firstLine="441" w:firstLineChars="184"/>
              <w:rPr>
                <w:rFonts w:hint="eastAsia"/>
                <w:bCs/>
                <w:color w:val="000000"/>
                <w:sz w:val="24"/>
              </w:rPr>
            </w:pPr>
            <w:r>
              <w:rPr>
                <w:rFonts w:hint="eastAsia"/>
                <w:bCs/>
                <w:color w:val="000000"/>
                <w:sz w:val="24"/>
              </w:rPr>
              <w:t>（4）投标人法定代表人授权委托代理人签署投标文件的，</w:t>
            </w:r>
            <w:r>
              <w:rPr>
                <w:bCs/>
                <w:color w:val="000000"/>
                <w:sz w:val="24"/>
              </w:rPr>
              <w:t>须提交授权</w:t>
            </w:r>
            <w:r>
              <w:rPr>
                <w:rFonts w:hint="eastAsia"/>
                <w:bCs/>
                <w:color w:val="000000"/>
                <w:sz w:val="24"/>
              </w:rPr>
              <w:t>委托书，授权委托书符合招标文件规定。</w:t>
            </w:r>
          </w:p>
          <w:p w14:paraId="4F00917D">
            <w:pPr>
              <w:snapToGrid w:val="0"/>
              <w:spacing w:line="276" w:lineRule="auto"/>
              <w:ind w:firstLine="441" w:firstLineChars="184"/>
              <w:rPr>
                <w:rFonts w:hint="eastAsia"/>
                <w:bCs/>
                <w:color w:val="000000"/>
                <w:sz w:val="24"/>
              </w:rPr>
            </w:pPr>
            <w:r>
              <w:rPr>
                <w:rFonts w:hint="eastAsia"/>
                <w:bCs/>
                <w:color w:val="000000"/>
                <w:sz w:val="24"/>
              </w:rPr>
              <w:t>（5）</w:t>
            </w:r>
            <w:r>
              <w:rPr>
                <w:bCs/>
                <w:color w:val="000000"/>
                <w:sz w:val="24"/>
              </w:rPr>
              <w:t>投标人法定代表人亲自签署投标文件的，提供了法定代表人身份</w:t>
            </w:r>
            <w:r>
              <w:rPr>
                <w:rFonts w:hint="eastAsia"/>
                <w:bCs/>
                <w:color w:val="000000"/>
                <w:sz w:val="24"/>
              </w:rPr>
              <w:t>证明，法定代表人身份证明符合招标文件规定。</w:t>
            </w:r>
          </w:p>
          <w:p w14:paraId="63DA3A88">
            <w:pPr>
              <w:snapToGrid w:val="0"/>
              <w:spacing w:line="276" w:lineRule="auto"/>
              <w:ind w:firstLine="480" w:firstLineChars="200"/>
              <w:rPr>
                <w:rFonts w:hint="eastAsia"/>
                <w:bCs/>
                <w:color w:val="000000"/>
                <w:sz w:val="24"/>
              </w:rPr>
            </w:pPr>
            <w:r>
              <w:rPr>
                <w:rFonts w:hint="eastAsia"/>
                <w:bCs/>
                <w:color w:val="000000"/>
                <w:sz w:val="24"/>
              </w:rPr>
              <w:t>（6）投标人以联合体形式投标时，联合体满足招标文件的要求；</w:t>
            </w:r>
          </w:p>
          <w:p w14:paraId="4604503E">
            <w:pPr>
              <w:snapToGrid w:val="0"/>
              <w:spacing w:line="276" w:lineRule="auto"/>
              <w:ind w:right="113" w:firstLine="480" w:firstLineChars="200"/>
              <w:rPr>
                <w:rFonts w:hint="eastAsia"/>
                <w:bCs/>
                <w:color w:val="000000"/>
                <w:sz w:val="24"/>
              </w:rPr>
            </w:pPr>
            <w:r>
              <w:rPr>
                <w:rFonts w:hint="eastAsia"/>
                <w:bCs/>
                <w:color w:val="000000"/>
                <w:sz w:val="24"/>
              </w:rPr>
              <w:t>（7）投标人未对本项目提出分包计划。</w:t>
            </w:r>
          </w:p>
          <w:p w14:paraId="2E873663">
            <w:pPr>
              <w:snapToGrid w:val="0"/>
              <w:spacing w:line="276" w:lineRule="auto"/>
              <w:ind w:right="113" w:firstLine="480" w:firstLineChars="200"/>
              <w:rPr>
                <w:rFonts w:hint="eastAsia"/>
                <w:bCs/>
                <w:color w:val="000000"/>
                <w:sz w:val="24"/>
              </w:rPr>
            </w:pPr>
            <w:r>
              <w:rPr>
                <w:rFonts w:hint="eastAsia"/>
                <w:bCs/>
                <w:color w:val="000000"/>
                <w:sz w:val="24"/>
              </w:rPr>
              <w:t>（8）同一投标人未提交两个以上不同的投标文件。</w:t>
            </w:r>
          </w:p>
          <w:p w14:paraId="143E41F8">
            <w:pPr>
              <w:snapToGrid w:val="0"/>
              <w:spacing w:line="276" w:lineRule="auto"/>
              <w:ind w:firstLine="441" w:firstLineChars="184"/>
              <w:rPr>
                <w:rFonts w:hint="eastAsia"/>
                <w:bCs/>
                <w:color w:val="000000"/>
                <w:sz w:val="24"/>
              </w:rPr>
            </w:pPr>
            <w:r>
              <w:rPr>
                <w:rFonts w:hint="eastAsia"/>
                <w:bCs/>
                <w:color w:val="000000"/>
                <w:sz w:val="24"/>
              </w:rPr>
              <w:t>（9）投标文件第一个信封（商务及技术文件）中未出现有关投标报价的内容。</w:t>
            </w:r>
          </w:p>
          <w:p w14:paraId="33757DF1">
            <w:pPr>
              <w:snapToGrid w:val="0"/>
              <w:spacing w:line="276" w:lineRule="auto"/>
              <w:ind w:firstLine="441" w:firstLineChars="184"/>
              <w:rPr>
                <w:rFonts w:hint="eastAsia"/>
                <w:bCs/>
                <w:color w:val="000000"/>
                <w:sz w:val="24"/>
              </w:rPr>
            </w:pPr>
            <w:r>
              <w:rPr>
                <w:rFonts w:hint="eastAsia"/>
                <w:bCs/>
                <w:color w:val="000000"/>
                <w:sz w:val="24"/>
              </w:rPr>
              <w:t>（10）投标文件载明的招标项目完成期限，未超出招标文件规定的时限。</w:t>
            </w:r>
          </w:p>
          <w:p w14:paraId="3D6D5EE4">
            <w:pPr>
              <w:snapToGrid w:val="0"/>
              <w:spacing w:line="276" w:lineRule="auto"/>
              <w:ind w:firstLine="441" w:firstLineChars="184"/>
              <w:rPr>
                <w:rFonts w:hint="eastAsia"/>
                <w:bCs/>
                <w:color w:val="000000"/>
                <w:sz w:val="24"/>
              </w:rPr>
            </w:pPr>
            <w:r>
              <w:rPr>
                <w:rFonts w:hint="eastAsia"/>
                <w:bCs/>
                <w:color w:val="000000"/>
                <w:sz w:val="24"/>
              </w:rPr>
              <w:t>（11）投标文件对招标文件的实质性要求和条件作出响应。</w:t>
            </w:r>
          </w:p>
          <w:p w14:paraId="27DE3097">
            <w:pPr>
              <w:snapToGrid w:val="0"/>
              <w:spacing w:line="276" w:lineRule="auto"/>
              <w:ind w:firstLine="441" w:firstLineChars="184"/>
              <w:rPr>
                <w:rFonts w:hint="eastAsia"/>
                <w:bCs/>
                <w:color w:val="000000"/>
                <w:sz w:val="24"/>
              </w:rPr>
            </w:pPr>
            <w:r>
              <w:rPr>
                <w:rFonts w:hint="eastAsia"/>
                <w:bCs/>
                <w:color w:val="000000"/>
                <w:sz w:val="24"/>
              </w:rPr>
              <w:t>（12）权利义务符合招标文件规定：</w:t>
            </w:r>
          </w:p>
          <w:p w14:paraId="11FAC994">
            <w:pPr>
              <w:snapToGrid w:val="0"/>
              <w:spacing w:line="276" w:lineRule="auto"/>
              <w:ind w:firstLine="441" w:firstLineChars="184"/>
              <w:rPr>
                <w:rFonts w:hint="eastAsia"/>
                <w:bCs/>
                <w:color w:val="000000"/>
                <w:sz w:val="24"/>
              </w:rPr>
            </w:pPr>
            <w:r>
              <w:rPr>
                <w:rFonts w:hint="eastAsia"/>
                <w:bCs/>
                <w:color w:val="000000"/>
                <w:sz w:val="24"/>
              </w:rPr>
              <w:t>a.投标人应接受招标文件规定的风险划分原则，未提出新的风险划分办法；</w:t>
            </w:r>
          </w:p>
          <w:p w14:paraId="5D13F97F">
            <w:pPr>
              <w:snapToGrid w:val="0"/>
              <w:spacing w:line="276" w:lineRule="auto"/>
              <w:ind w:firstLine="441" w:firstLineChars="184"/>
              <w:jc w:val="left"/>
              <w:rPr>
                <w:rFonts w:hint="eastAsia"/>
                <w:bCs/>
                <w:color w:val="000000"/>
                <w:sz w:val="24"/>
              </w:rPr>
            </w:pPr>
            <w:r>
              <w:rPr>
                <w:rFonts w:hint="eastAsia"/>
                <w:bCs/>
                <w:color w:val="000000"/>
                <w:sz w:val="24"/>
              </w:rPr>
              <w:t>b.投标人未增加发包人的责任范围，或减少投标人义务；</w:t>
            </w:r>
          </w:p>
          <w:p w14:paraId="625768F5">
            <w:pPr>
              <w:snapToGrid w:val="0"/>
              <w:spacing w:line="276" w:lineRule="auto"/>
              <w:ind w:firstLine="441" w:firstLineChars="184"/>
              <w:jc w:val="left"/>
              <w:rPr>
                <w:rFonts w:hint="eastAsia"/>
                <w:bCs/>
                <w:color w:val="000000"/>
                <w:sz w:val="24"/>
              </w:rPr>
            </w:pPr>
            <w:r>
              <w:rPr>
                <w:rFonts w:hint="eastAsia"/>
                <w:bCs/>
                <w:color w:val="000000"/>
                <w:sz w:val="24"/>
              </w:rPr>
              <w:t>c.投标人未提出不同的支付办法；</w:t>
            </w:r>
          </w:p>
          <w:p w14:paraId="4E626774">
            <w:pPr>
              <w:snapToGrid w:val="0"/>
              <w:spacing w:line="276" w:lineRule="auto"/>
              <w:ind w:firstLine="441" w:firstLineChars="184"/>
              <w:jc w:val="left"/>
              <w:rPr>
                <w:rFonts w:hint="eastAsia"/>
                <w:bCs/>
                <w:color w:val="000000"/>
                <w:sz w:val="24"/>
              </w:rPr>
            </w:pPr>
            <w:r>
              <w:rPr>
                <w:rFonts w:hint="eastAsia"/>
                <w:bCs/>
                <w:color w:val="000000"/>
                <w:sz w:val="24"/>
              </w:rPr>
              <w:t>d.投标人对合同纠纷、事故处理办法未提出异议；</w:t>
            </w:r>
          </w:p>
          <w:p w14:paraId="3027AEEC">
            <w:pPr>
              <w:snapToGrid w:val="0"/>
              <w:spacing w:line="276" w:lineRule="auto"/>
              <w:ind w:firstLine="441" w:firstLineChars="184"/>
              <w:jc w:val="left"/>
              <w:rPr>
                <w:rFonts w:hint="eastAsia"/>
                <w:bCs/>
                <w:color w:val="000000"/>
                <w:sz w:val="24"/>
              </w:rPr>
            </w:pPr>
            <w:r>
              <w:rPr>
                <w:rFonts w:hint="eastAsia"/>
                <w:bCs/>
                <w:color w:val="000000"/>
                <w:sz w:val="24"/>
              </w:rPr>
              <w:t>e.投标人在投标活动中无欺诈行为；</w:t>
            </w:r>
          </w:p>
          <w:p w14:paraId="7D6E6F25">
            <w:pPr>
              <w:snapToGrid w:val="0"/>
              <w:spacing w:line="276" w:lineRule="auto"/>
              <w:ind w:firstLine="441" w:firstLineChars="184"/>
              <w:jc w:val="left"/>
              <w:rPr>
                <w:rFonts w:hint="eastAsia"/>
                <w:bCs/>
                <w:color w:val="000000"/>
                <w:sz w:val="24"/>
              </w:rPr>
            </w:pPr>
            <w:r>
              <w:rPr>
                <w:rFonts w:hint="eastAsia"/>
                <w:bCs/>
                <w:color w:val="000000"/>
                <w:sz w:val="24"/>
              </w:rPr>
              <w:t>f.投标人未对合同条款有重要保留。</w:t>
            </w:r>
          </w:p>
          <w:p w14:paraId="10AACF5D">
            <w:pPr>
              <w:tabs>
                <w:tab w:val="left" w:pos="3060"/>
              </w:tabs>
              <w:snapToGrid w:val="0"/>
              <w:spacing w:line="276" w:lineRule="auto"/>
              <w:rPr>
                <w:rFonts w:hint="eastAsia"/>
                <w:bCs/>
                <w:color w:val="000000"/>
                <w:sz w:val="24"/>
              </w:rPr>
            </w:pPr>
          </w:p>
          <w:p w14:paraId="03E1CC13">
            <w:pPr>
              <w:tabs>
                <w:tab w:val="left" w:pos="3060"/>
              </w:tabs>
              <w:snapToGrid w:val="0"/>
              <w:spacing w:line="276" w:lineRule="auto"/>
              <w:rPr>
                <w:rFonts w:hint="eastAsia"/>
                <w:bCs/>
                <w:color w:val="000000"/>
                <w:sz w:val="24"/>
              </w:rPr>
            </w:pPr>
            <w:r>
              <w:rPr>
                <w:rFonts w:hint="eastAsia"/>
                <w:bCs/>
                <w:color w:val="000000"/>
                <w:sz w:val="24"/>
              </w:rPr>
              <w:t>第一个信封（暗标）评审标准:</w:t>
            </w:r>
          </w:p>
          <w:p w14:paraId="085EAB9B">
            <w:pPr>
              <w:tabs>
                <w:tab w:val="left" w:pos="3060"/>
              </w:tabs>
              <w:snapToGrid w:val="0"/>
              <w:spacing w:line="276" w:lineRule="auto"/>
              <w:ind w:firstLine="480" w:firstLineChars="200"/>
              <w:rPr>
                <w:rFonts w:hint="eastAsia"/>
                <w:bCs/>
                <w:color w:val="000000"/>
                <w:sz w:val="24"/>
              </w:rPr>
            </w:pPr>
            <w:r>
              <w:rPr>
                <w:rFonts w:hint="eastAsia"/>
                <w:bCs/>
                <w:color w:val="000000"/>
                <w:sz w:val="24"/>
              </w:rPr>
              <w:t>施工组织设计（投标文件暗标部分）编制符合招标文件第二章“投标人须知”第</w:t>
            </w:r>
            <w:r>
              <w:rPr>
                <w:bCs/>
                <w:color w:val="000000"/>
                <w:sz w:val="24"/>
              </w:rPr>
              <w:t>3.7.3</w:t>
            </w:r>
            <w:r>
              <w:rPr>
                <w:rFonts w:hint="eastAsia"/>
                <w:bCs/>
                <w:color w:val="000000"/>
                <w:sz w:val="24"/>
              </w:rPr>
              <w:t>款的规定。</w:t>
            </w:r>
          </w:p>
          <w:p w14:paraId="32E9FD5A">
            <w:pPr>
              <w:tabs>
                <w:tab w:val="left" w:pos="3060"/>
              </w:tabs>
              <w:snapToGrid w:val="0"/>
              <w:spacing w:line="276" w:lineRule="auto"/>
              <w:rPr>
                <w:rFonts w:hint="eastAsia"/>
                <w:bCs/>
                <w:color w:val="000000"/>
                <w:sz w:val="24"/>
              </w:rPr>
            </w:pPr>
            <w:r>
              <w:rPr>
                <w:rFonts w:hint="eastAsia"/>
                <w:bCs/>
                <w:color w:val="000000"/>
                <w:sz w:val="24"/>
              </w:rPr>
              <w:t>第二个信封（报价文件）评审标准：</w:t>
            </w:r>
          </w:p>
          <w:p w14:paraId="55A92755">
            <w:pPr>
              <w:snapToGrid w:val="0"/>
              <w:spacing w:line="276" w:lineRule="auto"/>
              <w:ind w:firstLine="441" w:firstLineChars="184"/>
              <w:rPr>
                <w:rFonts w:hint="eastAsia"/>
                <w:bCs/>
                <w:color w:val="000000"/>
                <w:sz w:val="24"/>
              </w:rPr>
            </w:pPr>
            <w:r>
              <w:rPr>
                <w:rFonts w:hint="eastAsia"/>
                <w:bCs/>
                <w:color w:val="000000"/>
                <w:sz w:val="24"/>
              </w:rPr>
              <w:t>（1）投标文件按照招标文件规定的格式、内容填写，字迹清晰可辨：</w:t>
            </w:r>
          </w:p>
          <w:p w14:paraId="5556C636">
            <w:pPr>
              <w:snapToGrid w:val="0"/>
              <w:spacing w:line="276" w:lineRule="auto"/>
              <w:ind w:firstLine="441" w:firstLineChars="184"/>
              <w:rPr>
                <w:rFonts w:hint="eastAsia"/>
                <w:bCs/>
                <w:color w:val="000000"/>
                <w:sz w:val="24"/>
              </w:rPr>
            </w:pPr>
            <w:r>
              <w:rPr>
                <w:rFonts w:hint="eastAsia"/>
                <w:bCs/>
                <w:color w:val="000000"/>
                <w:sz w:val="24"/>
              </w:rPr>
              <w:t>a.投标函按招标文件规定填报了项目名称、补遗书编号（如有）、投标价（包括大写金额和小写金额）；</w:t>
            </w:r>
          </w:p>
          <w:p w14:paraId="7CFEF9C1">
            <w:pPr>
              <w:snapToGrid w:val="0"/>
              <w:spacing w:line="276" w:lineRule="auto"/>
              <w:ind w:firstLine="441" w:firstLineChars="184"/>
              <w:rPr>
                <w:rFonts w:hint="eastAsia"/>
                <w:bCs/>
                <w:color w:val="000000"/>
                <w:sz w:val="24"/>
              </w:rPr>
            </w:pPr>
            <w:r>
              <w:rPr>
                <w:rFonts w:hint="eastAsia"/>
                <w:bCs/>
                <w:color w:val="000000"/>
                <w:sz w:val="24"/>
              </w:rPr>
              <w:t>b.已标价的工程量清单说明文字与招标文件一致，未进行实质性修改或删减；</w:t>
            </w:r>
          </w:p>
          <w:p w14:paraId="5CC04FC8">
            <w:pPr>
              <w:snapToGrid w:val="0"/>
              <w:spacing w:line="276" w:lineRule="auto"/>
              <w:ind w:firstLine="441" w:firstLineChars="184"/>
              <w:rPr>
                <w:rFonts w:hint="eastAsia"/>
                <w:bCs/>
                <w:color w:val="000000"/>
                <w:sz w:val="24"/>
              </w:rPr>
            </w:pPr>
            <w:r>
              <w:rPr>
                <w:rFonts w:hint="eastAsia"/>
                <w:bCs/>
                <w:color w:val="000000"/>
                <w:sz w:val="24"/>
              </w:rPr>
              <w:t>c.投标文件组成齐全完整，内容均按规定填写。</w:t>
            </w:r>
          </w:p>
          <w:p w14:paraId="58C1906F">
            <w:pPr>
              <w:snapToGrid w:val="0"/>
              <w:spacing w:line="276" w:lineRule="auto"/>
              <w:ind w:firstLine="441" w:firstLineChars="184"/>
              <w:rPr>
                <w:rFonts w:hint="eastAsia"/>
                <w:bCs/>
                <w:color w:val="000000"/>
                <w:sz w:val="24"/>
              </w:rPr>
            </w:pPr>
            <w:r>
              <w:rPr>
                <w:rFonts w:hint="eastAsia"/>
                <w:bCs/>
                <w:color w:val="000000"/>
                <w:sz w:val="24"/>
              </w:rPr>
              <w:t>（2）投标文件上法定代表人或其授权代理人的签字、投标人的单位章盖章齐全，符合招标文件规定。</w:t>
            </w:r>
          </w:p>
          <w:p w14:paraId="14CED7EE">
            <w:pPr>
              <w:snapToGrid w:val="0"/>
              <w:spacing w:line="276" w:lineRule="auto"/>
              <w:ind w:firstLine="441" w:firstLineChars="184"/>
              <w:rPr>
                <w:rFonts w:hint="eastAsia"/>
                <w:bCs/>
                <w:color w:val="000000"/>
                <w:sz w:val="24"/>
              </w:rPr>
            </w:pPr>
            <w:r>
              <w:rPr>
                <w:rFonts w:hint="eastAsia"/>
                <w:bCs/>
                <w:color w:val="000000"/>
                <w:sz w:val="24"/>
              </w:rPr>
              <w:t>（3）投标报价未超过招标文件设定的最高投标限价。</w:t>
            </w:r>
          </w:p>
          <w:p w14:paraId="5E3E84A0">
            <w:pPr>
              <w:snapToGrid w:val="0"/>
              <w:spacing w:line="276" w:lineRule="auto"/>
              <w:ind w:firstLine="441" w:firstLineChars="184"/>
              <w:rPr>
                <w:rFonts w:hint="eastAsia"/>
                <w:bCs/>
                <w:color w:val="000000"/>
                <w:sz w:val="24"/>
              </w:rPr>
            </w:pPr>
            <w:r>
              <w:rPr>
                <w:rFonts w:hint="eastAsia"/>
                <w:bCs/>
                <w:color w:val="000000"/>
                <w:sz w:val="24"/>
              </w:rPr>
              <w:t>（4）投标报价的大写金额能够确定具体数值。</w:t>
            </w:r>
          </w:p>
          <w:p w14:paraId="1F72CCB0">
            <w:pPr>
              <w:snapToGrid w:val="0"/>
              <w:spacing w:line="276" w:lineRule="auto"/>
              <w:ind w:firstLine="441" w:firstLineChars="184"/>
              <w:rPr>
                <w:rFonts w:hint="eastAsia"/>
                <w:bCs/>
                <w:color w:val="000000"/>
                <w:sz w:val="24"/>
              </w:rPr>
            </w:pPr>
            <w:r>
              <w:rPr>
                <w:rFonts w:hint="eastAsia"/>
                <w:bCs/>
                <w:color w:val="000000"/>
                <w:sz w:val="24"/>
              </w:rPr>
              <w:t>（5）同一投标人未提交两个以上不同的投标报价。</w:t>
            </w:r>
          </w:p>
          <w:p w14:paraId="12233842">
            <w:pPr>
              <w:snapToGrid w:val="0"/>
              <w:spacing w:line="276" w:lineRule="auto"/>
              <w:ind w:firstLine="441" w:firstLineChars="184"/>
              <w:rPr>
                <w:rFonts w:hint="eastAsia"/>
                <w:bCs/>
                <w:color w:val="000000"/>
                <w:sz w:val="24"/>
              </w:rPr>
            </w:pPr>
            <w:r>
              <w:rPr>
                <w:rFonts w:hint="eastAsia"/>
                <w:bCs/>
                <w:color w:val="000000"/>
                <w:sz w:val="24"/>
              </w:rPr>
              <w:t>（6）投标人未提交调价函。</w:t>
            </w:r>
          </w:p>
          <w:p w14:paraId="6C31F7EB">
            <w:pPr>
              <w:snapToGrid w:val="0"/>
              <w:spacing w:line="276" w:lineRule="auto"/>
              <w:ind w:firstLine="441" w:firstLineChars="184"/>
              <w:rPr>
                <w:rFonts w:hint="eastAsia"/>
                <w:bCs/>
                <w:color w:val="000000"/>
                <w:sz w:val="24"/>
              </w:rPr>
            </w:pPr>
            <w:r>
              <w:rPr>
                <w:rFonts w:hint="eastAsia"/>
                <w:bCs/>
                <w:color w:val="000000"/>
                <w:sz w:val="24"/>
              </w:rPr>
              <w:t>（7）投标人填写完毕的工程量固化清单未对工程量固化清单电子文件中的数据、格式和运算定义进行修改；工程量固化清单中的投标报价和投标函中大写金额报价一致。</w:t>
            </w:r>
          </w:p>
        </w:tc>
      </w:tr>
      <w:tr w14:paraId="29B1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3F72F0AC">
            <w:pPr>
              <w:jc w:val="center"/>
              <w:rPr>
                <w:rFonts w:hint="eastAsia" w:cs="宋体"/>
                <w:color w:val="000000"/>
                <w:sz w:val="24"/>
              </w:rPr>
            </w:pPr>
            <w:r>
              <w:rPr>
                <w:rFonts w:hint="eastAsia" w:cs="宋体"/>
                <w:color w:val="000000"/>
                <w:sz w:val="24"/>
              </w:rPr>
              <w:t>2.1.2</w:t>
            </w:r>
          </w:p>
        </w:tc>
        <w:tc>
          <w:tcPr>
            <w:tcW w:w="1246" w:type="dxa"/>
            <w:vAlign w:val="center"/>
          </w:tcPr>
          <w:p w14:paraId="3787CFA6">
            <w:pPr>
              <w:jc w:val="center"/>
              <w:rPr>
                <w:rFonts w:hint="eastAsia" w:cs="宋体"/>
                <w:color w:val="000000"/>
                <w:sz w:val="24"/>
              </w:rPr>
            </w:pPr>
            <w:r>
              <w:rPr>
                <w:rFonts w:hint="eastAsia" w:cs="宋体"/>
                <w:color w:val="000000"/>
                <w:sz w:val="24"/>
              </w:rPr>
              <w:t>资格评审标准</w:t>
            </w:r>
          </w:p>
        </w:tc>
        <w:tc>
          <w:tcPr>
            <w:tcW w:w="7106" w:type="dxa"/>
            <w:vAlign w:val="center"/>
          </w:tcPr>
          <w:p w14:paraId="7035F2FC">
            <w:pPr>
              <w:snapToGrid w:val="0"/>
              <w:spacing w:line="276" w:lineRule="auto"/>
              <w:ind w:firstLine="441" w:firstLineChars="184"/>
              <w:jc w:val="left"/>
              <w:rPr>
                <w:rFonts w:hint="eastAsia"/>
                <w:bCs/>
                <w:color w:val="000000"/>
                <w:sz w:val="24"/>
              </w:rPr>
            </w:pPr>
            <w:r>
              <w:rPr>
                <w:rFonts w:hint="eastAsia"/>
                <w:color w:val="000000"/>
                <w:sz w:val="24"/>
              </w:rPr>
              <w:t>（1）投标</w:t>
            </w:r>
            <w:r>
              <w:rPr>
                <w:rFonts w:hint="eastAsia"/>
                <w:bCs/>
                <w:color w:val="000000"/>
                <w:sz w:val="24"/>
              </w:rPr>
              <w:t>人具备有效的营业执照、资质证书、安全生产许可证和基本账户开户许可证（或基本存款账户信息）。</w:t>
            </w:r>
          </w:p>
          <w:p w14:paraId="60B7AC06">
            <w:pPr>
              <w:snapToGrid w:val="0"/>
              <w:spacing w:line="276" w:lineRule="auto"/>
              <w:ind w:firstLine="441" w:firstLineChars="184"/>
              <w:jc w:val="left"/>
              <w:rPr>
                <w:rFonts w:hint="eastAsia"/>
                <w:bCs/>
                <w:color w:val="000000"/>
                <w:sz w:val="24"/>
              </w:rPr>
            </w:pPr>
            <w:r>
              <w:rPr>
                <w:rFonts w:hint="eastAsia"/>
                <w:bCs/>
                <w:color w:val="000000"/>
                <w:sz w:val="24"/>
              </w:rPr>
              <w:t>（2）投标人的资质等级符合招标文件规定。</w:t>
            </w:r>
          </w:p>
          <w:p w14:paraId="014F5367">
            <w:pPr>
              <w:snapToGrid w:val="0"/>
              <w:spacing w:line="276" w:lineRule="auto"/>
              <w:ind w:firstLine="441" w:firstLineChars="184"/>
              <w:jc w:val="left"/>
              <w:rPr>
                <w:rFonts w:hint="eastAsia"/>
                <w:bCs/>
                <w:color w:val="000000"/>
                <w:sz w:val="24"/>
              </w:rPr>
            </w:pPr>
            <w:r>
              <w:rPr>
                <w:rFonts w:hint="eastAsia"/>
                <w:bCs/>
                <w:color w:val="000000"/>
                <w:sz w:val="24"/>
              </w:rPr>
              <w:t>（3）投标人的财务状况符合招标文件规定。</w:t>
            </w:r>
          </w:p>
          <w:p w14:paraId="5B3F3523">
            <w:pPr>
              <w:snapToGrid w:val="0"/>
              <w:spacing w:line="276" w:lineRule="auto"/>
              <w:ind w:firstLine="441" w:firstLineChars="184"/>
              <w:jc w:val="left"/>
              <w:rPr>
                <w:rFonts w:hint="eastAsia"/>
                <w:bCs/>
                <w:color w:val="000000"/>
                <w:sz w:val="24"/>
              </w:rPr>
            </w:pPr>
            <w:r>
              <w:rPr>
                <w:rFonts w:hint="eastAsia"/>
                <w:bCs/>
                <w:color w:val="000000"/>
                <w:sz w:val="24"/>
              </w:rPr>
              <w:t>（4）投标人的业绩符合招标文件规定。</w:t>
            </w:r>
          </w:p>
          <w:p w14:paraId="22E66BB1">
            <w:pPr>
              <w:snapToGrid w:val="0"/>
              <w:spacing w:line="276" w:lineRule="auto"/>
              <w:ind w:firstLine="441" w:firstLineChars="184"/>
              <w:jc w:val="left"/>
              <w:rPr>
                <w:rFonts w:hint="eastAsia"/>
                <w:bCs/>
                <w:color w:val="000000"/>
                <w:sz w:val="24"/>
              </w:rPr>
            </w:pPr>
            <w:r>
              <w:rPr>
                <w:rFonts w:hint="eastAsia"/>
                <w:bCs/>
                <w:color w:val="000000"/>
                <w:sz w:val="24"/>
              </w:rPr>
              <w:t>（5）投标人的信誉符合招标文件规定。</w:t>
            </w:r>
          </w:p>
          <w:p w14:paraId="7CBE1A6C">
            <w:pPr>
              <w:snapToGrid w:val="0"/>
              <w:spacing w:line="276" w:lineRule="auto"/>
              <w:ind w:firstLine="441" w:firstLineChars="184"/>
              <w:jc w:val="left"/>
              <w:rPr>
                <w:rFonts w:hint="eastAsia"/>
                <w:bCs/>
                <w:color w:val="000000"/>
                <w:sz w:val="24"/>
              </w:rPr>
            </w:pPr>
            <w:r>
              <w:rPr>
                <w:rFonts w:hint="eastAsia"/>
                <w:bCs/>
                <w:color w:val="000000"/>
                <w:sz w:val="24"/>
              </w:rPr>
              <w:t>（6）投标人的项目经理和项目总工符合招标文件规定。</w:t>
            </w:r>
          </w:p>
          <w:p w14:paraId="2408991F">
            <w:pPr>
              <w:snapToGrid w:val="0"/>
              <w:spacing w:line="276" w:lineRule="auto"/>
              <w:ind w:firstLine="441" w:firstLineChars="184"/>
              <w:jc w:val="left"/>
              <w:rPr>
                <w:rFonts w:hint="eastAsia"/>
                <w:bCs/>
                <w:color w:val="000000"/>
                <w:sz w:val="24"/>
              </w:rPr>
            </w:pPr>
            <w:r>
              <w:rPr>
                <w:rFonts w:hint="eastAsia"/>
                <w:bCs/>
                <w:color w:val="000000"/>
                <w:sz w:val="24"/>
              </w:rPr>
              <w:t>（7）投标人不存在第二章“投标人须知”第1.4.3项或第1.4.4项规定的任何一种情形。</w:t>
            </w:r>
          </w:p>
          <w:p w14:paraId="78E705B6">
            <w:pPr>
              <w:snapToGrid w:val="0"/>
              <w:spacing w:line="276" w:lineRule="auto"/>
              <w:ind w:firstLine="441" w:firstLineChars="184"/>
              <w:jc w:val="left"/>
              <w:rPr>
                <w:rFonts w:hint="eastAsia"/>
                <w:bCs/>
                <w:color w:val="000000"/>
                <w:sz w:val="24"/>
              </w:rPr>
            </w:pPr>
            <w:r>
              <w:rPr>
                <w:rFonts w:hint="eastAsia"/>
                <w:bCs/>
                <w:color w:val="000000"/>
                <w:sz w:val="24"/>
              </w:rPr>
              <w:t>（8）投标人符合第二章“投标人须知”第1.4.5项规定。</w:t>
            </w:r>
          </w:p>
          <w:p w14:paraId="51D313F2">
            <w:pPr>
              <w:snapToGrid w:val="0"/>
              <w:spacing w:line="276" w:lineRule="auto"/>
              <w:ind w:firstLine="441" w:firstLineChars="184"/>
              <w:jc w:val="left"/>
              <w:rPr>
                <w:rFonts w:hint="eastAsia"/>
                <w:bCs/>
                <w:color w:val="000000"/>
                <w:sz w:val="24"/>
              </w:rPr>
            </w:pPr>
            <w:r>
              <w:rPr>
                <w:rFonts w:hint="eastAsia"/>
                <w:bCs/>
                <w:color w:val="000000"/>
                <w:sz w:val="24"/>
              </w:rPr>
              <w:t>（9）以联合体形式参加投标的，成员总数不得超过2家，且联合体各方均未再以自己名义单独或参加其他联合体的投标；独立参与投标的，投标人未同时参加联合体投标。</w:t>
            </w:r>
          </w:p>
        </w:tc>
      </w:tr>
      <w:tr w14:paraId="450C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A9C88EC">
            <w:pPr>
              <w:jc w:val="center"/>
              <w:rPr>
                <w:rFonts w:hint="eastAsia" w:cs="宋体"/>
                <w:color w:val="000000"/>
                <w:sz w:val="24"/>
              </w:rPr>
            </w:pPr>
            <w:r>
              <w:rPr>
                <w:rFonts w:hint="eastAsia" w:cs="宋体"/>
                <w:color w:val="000000"/>
                <w:sz w:val="24"/>
              </w:rPr>
              <w:t>2.2.1</w:t>
            </w:r>
          </w:p>
        </w:tc>
        <w:tc>
          <w:tcPr>
            <w:tcW w:w="1246" w:type="dxa"/>
            <w:vAlign w:val="center"/>
          </w:tcPr>
          <w:p w14:paraId="323D7ADC">
            <w:pPr>
              <w:jc w:val="center"/>
              <w:rPr>
                <w:rFonts w:hint="eastAsia" w:cs="宋体"/>
                <w:color w:val="000000"/>
                <w:sz w:val="24"/>
              </w:rPr>
            </w:pPr>
            <w:r>
              <w:rPr>
                <w:rFonts w:hint="eastAsia" w:cs="仿宋"/>
                <w:color w:val="000000"/>
                <w:sz w:val="24"/>
              </w:rPr>
              <w:t>第一个信封评分分值构成（总分100分）</w:t>
            </w:r>
          </w:p>
        </w:tc>
        <w:tc>
          <w:tcPr>
            <w:tcW w:w="7106" w:type="dxa"/>
            <w:vAlign w:val="center"/>
          </w:tcPr>
          <w:p w14:paraId="7B9F1B71">
            <w:pPr>
              <w:rPr>
                <w:rFonts w:hint="eastAsia"/>
                <w:b/>
                <w:color w:val="000000"/>
                <w:sz w:val="24"/>
              </w:rPr>
            </w:pPr>
            <w:r>
              <w:rPr>
                <w:rFonts w:hint="eastAsia"/>
                <w:b/>
                <w:color w:val="000000"/>
                <w:sz w:val="24"/>
              </w:rPr>
              <w:t>第一个信封（商务及技术文件）评分分值构成：</w:t>
            </w:r>
          </w:p>
          <w:p w14:paraId="21ECAFDE">
            <w:pPr>
              <w:adjustRightInd w:val="0"/>
              <w:snapToGrid w:val="0"/>
              <w:spacing w:line="276" w:lineRule="auto"/>
              <w:ind w:right="113"/>
              <w:rPr>
                <w:rFonts w:hint="eastAsia" w:cs="仿宋"/>
                <w:sz w:val="24"/>
              </w:rPr>
            </w:pPr>
            <w:r>
              <w:rPr>
                <w:rFonts w:hint="eastAsia" w:cs="仿宋"/>
                <w:sz w:val="24"/>
              </w:rPr>
              <w:t>施工组织设计：</w:t>
            </w:r>
            <w:r>
              <w:rPr>
                <w:rFonts w:hint="eastAsia" w:cs="仿宋"/>
                <w:sz w:val="24"/>
                <w:u w:val="single"/>
              </w:rPr>
              <w:t>40</w:t>
            </w:r>
            <w:r>
              <w:rPr>
                <w:rFonts w:hint="eastAsia" w:cs="仿宋"/>
                <w:sz w:val="24"/>
              </w:rPr>
              <w:t xml:space="preserve">分 </w:t>
            </w:r>
          </w:p>
          <w:p w14:paraId="1023AE32">
            <w:pPr>
              <w:adjustRightInd w:val="0"/>
              <w:snapToGrid w:val="0"/>
              <w:spacing w:line="276" w:lineRule="auto"/>
              <w:ind w:right="113"/>
              <w:rPr>
                <w:rFonts w:hint="eastAsia" w:cs="仿宋"/>
                <w:sz w:val="24"/>
              </w:rPr>
            </w:pPr>
            <w:r>
              <w:rPr>
                <w:rFonts w:hint="eastAsia" w:cs="仿宋"/>
                <w:sz w:val="24"/>
              </w:rPr>
              <w:t>主要人员：</w:t>
            </w:r>
            <w:r>
              <w:rPr>
                <w:rFonts w:hint="eastAsia" w:cs="仿宋"/>
                <w:sz w:val="24"/>
                <w:u w:val="single"/>
              </w:rPr>
              <w:t>30</w:t>
            </w:r>
            <w:r>
              <w:rPr>
                <w:rFonts w:hint="eastAsia" w:cs="仿宋"/>
                <w:sz w:val="24"/>
              </w:rPr>
              <w:t xml:space="preserve">分 </w:t>
            </w:r>
          </w:p>
          <w:p w14:paraId="43DE5FC6">
            <w:pPr>
              <w:adjustRightInd w:val="0"/>
              <w:snapToGrid w:val="0"/>
              <w:spacing w:line="276" w:lineRule="auto"/>
              <w:ind w:right="113"/>
              <w:rPr>
                <w:rFonts w:hint="eastAsia"/>
                <w:sz w:val="24"/>
              </w:rPr>
            </w:pPr>
            <w:r>
              <w:rPr>
                <w:rFonts w:hint="eastAsia"/>
                <w:sz w:val="24"/>
              </w:rPr>
              <w:t>其他因素</w:t>
            </w:r>
            <w:r>
              <w:rPr>
                <w:rFonts w:hint="eastAsia" w:cs="仿宋"/>
                <w:sz w:val="24"/>
              </w:rPr>
              <w:t>：</w:t>
            </w:r>
            <w:r>
              <w:rPr>
                <w:rFonts w:hint="eastAsia" w:cs="仿宋"/>
                <w:sz w:val="24"/>
                <w:u w:val="single"/>
              </w:rPr>
              <w:t>30</w:t>
            </w:r>
            <w:r>
              <w:rPr>
                <w:rFonts w:hint="eastAsia" w:cs="仿宋"/>
                <w:sz w:val="24"/>
              </w:rPr>
              <w:t>分</w:t>
            </w:r>
          </w:p>
        </w:tc>
      </w:tr>
      <w:tr w14:paraId="53E2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1E72921F">
            <w:pPr>
              <w:jc w:val="center"/>
              <w:rPr>
                <w:rFonts w:hint="eastAsia" w:cs="宋体"/>
                <w:color w:val="000000"/>
                <w:sz w:val="24"/>
              </w:rPr>
            </w:pPr>
            <w:r>
              <w:rPr>
                <w:rFonts w:hint="eastAsia" w:cs="宋体"/>
                <w:color w:val="000000"/>
                <w:sz w:val="24"/>
              </w:rPr>
              <w:t>2.2.3</w:t>
            </w:r>
          </w:p>
        </w:tc>
        <w:tc>
          <w:tcPr>
            <w:tcW w:w="1246" w:type="dxa"/>
            <w:vAlign w:val="center"/>
          </w:tcPr>
          <w:p w14:paraId="2C5C7C84">
            <w:pPr>
              <w:spacing w:line="320" w:lineRule="exact"/>
              <w:jc w:val="center"/>
              <w:rPr>
                <w:rFonts w:hint="eastAsia"/>
                <w:color w:val="000000"/>
                <w:sz w:val="24"/>
              </w:rPr>
            </w:pPr>
            <w:r>
              <w:rPr>
                <w:rFonts w:hint="eastAsia" w:cs="仿宋"/>
                <w:color w:val="000000"/>
                <w:sz w:val="24"/>
              </w:rPr>
              <w:t>第二个信封详细评审标准</w:t>
            </w:r>
          </w:p>
        </w:tc>
        <w:tc>
          <w:tcPr>
            <w:tcW w:w="7106" w:type="dxa"/>
            <w:vAlign w:val="center"/>
          </w:tcPr>
          <w:p w14:paraId="732191D7">
            <w:pPr>
              <w:spacing w:line="276" w:lineRule="auto"/>
              <w:ind w:firstLine="480" w:firstLineChars="200"/>
              <w:rPr>
                <w:rFonts w:hint="eastAsia"/>
                <w:bCs/>
                <w:color w:val="000000"/>
                <w:sz w:val="24"/>
              </w:rPr>
            </w:pPr>
            <w:r>
              <w:rPr>
                <w:rFonts w:hint="eastAsia"/>
                <w:bCs/>
                <w:color w:val="000000"/>
                <w:sz w:val="24"/>
              </w:rPr>
              <w:t>（1）第二个信封（报价文件）评分分值构成：</w:t>
            </w:r>
          </w:p>
          <w:p w14:paraId="69E4E6A7">
            <w:pPr>
              <w:spacing w:line="276" w:lineRule="auto"/>
              <w:ind w:firstLine="480" w:firstLineChars="200"/>
              <w:rPr>
                <w:rFonts w:hint="eastAsia"/>
                <w:bCs/>
                <w:color w:val="000000"/>
                <w:sz w:val="24"/>
              </w:rPr>
            </w:pPr>
            <w:r>
              <w:rPr>
                <w:rFonts w:hint="eastAsia"/>
                <w:bCs/>
                <w:color w:val="000000"/>
                <w:sz w:val="24"/>
              </w:rPr>
              <w:t>评标价：100分</w:t>
            </w:r>
          </w:p>
          <w:p w14:paraId="0D71971F">
            <w:pPr>
              <w:spacing w:line="276" w:lineRule="auto"/>
              <w:ind w:firstLine="480" w:firstLineChars="200"/>
              <w:rPr>
                <w:rFonts w:hint="eastAsia"/>
                <w:bCs/>
                <w:color w:val="000000"/>
                <w:sz w:val="24"/>
              </w:rPr>
            </w:pPr>
            <w:r>
              <w:rPr>
                <w:rFonts w:hint="eastAsia"/>
                <w:bCs/>
                <w:color w:val="000000"/>
                <w:sz w:val="24"/>
              </w:rPr>
              <w:t>（2）评标基准价的计算：</w:t>
            </w:r>
          </w:p>
          <w:p w14:paraId="59BF3CCD">
            <w:pPr>
              <w:spacing w:line="276" w:lineRule="auto"/>
              <w:ind w:firstLine="480" w:firstLineChars="200"/>
              <w:rPr>
                <w:rFonts w:hint="eastAsia"/>
                <w:bCs/>
                <w:color w:val="000000"/>
                <w:sz w:val="24"/>
              </w:rPr>
            </w:pPr>
            <w:r>
              <w:rPr>
                <w:rFonts w:hint="eastAsia"/>
                <w:bCs/>
                <w:color w:val="000000"/>
                <w:sz w:val="24"/>
              </w:rPr>
              <w:t>在第二个信封开标现场，招标人将当场计算并宣布评标基准价。</w:t>
            </w:r>
          </w:p>
          <w:p w14:paraId="188C7BB0">
            <w:pPr>
              <w:spacing w:line="276" w:lineRule="auto"/>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1 \* GB3 </w:instrText>
            </w:r>
            <w:r>
              <w:rPr>
                <w:rFonts w:hint="eastAsia"/>
                <w:bCs/>
                <w:color w:val="000000"/>
                <w:sz w:val="24"/>
              </w:rPr>
              <w:fldChar w:fldCharType="separate"/>
            </w:r>
            <w:r>
              <w:rPr>
                <w:rFonts w:hint="eastAsia"/>
                <w:bCs/>
                <w:color w:val="000000"/>
                <w:sz w:val="24"/>
              </w:rPr>
              <w:t>①</w:t>
            </w:r>
            <w:r>
              <w:rPr>
                <w:rFonts w:hint="eastAsia"/>
                <w:bCs/>
                <w:color w:val="000000"/>
                <w:sz w:val="24"/>
              </w:rPr>
              <w:fldChar w:fldCharType="end"/>
            </w:r>
            <w:r>
              <w:rPr>
                <w:rFonts w:hint="eastAsia"/>
                <w:bCs/>
                <w:color w:val="000000"/>
                <w:sz w:val="24"/>
              </w:rPr>
              <w:t>评标价的确定：评标价＝投标函文字报价</w:t>
            </w:r>
          </w:p>
          <w:p w14:paraId="6071C209">
            <w:pPr>
              <w:spacing w:line="276" w:lineRule="auto"/>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2 \* GB3 </w:instrText>
            </w:r>
            <w:r>
              <w:rPr>
                <w:rFonts w:hint="eastAsia"/>
                <w:bCs/>
                <w:color w:val="000000"/>
                <w:sz w:val="24"/>
              </w:rPr>
              <w:fldChar w:fldCharType="separate"/>
            </w:r>
            <w:r>
              <w:rPr>
                <w:rFonts w:hint="eastAsia"/>
                <w:bCs/>
                <w:color w:val="000000"/>
                <w:sz w:val="24"/>
              </w:rPr>
              <w:t>②</w:t>
            </w:r>
            <w:r>
              <w:rPr>
                <w:rFonts w:hint="eastAsia"/>
                <w:bCs/>
                <w:color w:val="000000"/>
                <w:sz w:val="24"/>
              </w:rPr>
              <w:fldChar w:fldCharType="end"/>
            </w:r>
            <w:r>
              <w:rPr>
                <w:rFonts w:hint="eastAsia"/>
                <w:bCs/>
                <w:color w:val="000000"/>
                <w:sz w:val="24"/>
              </w:rPr>
              <w:t>评标价平均值的计算：</w:t>
            </w:r>
          </w:p>
          <w:p w14:paraId="072DCED4">
            <w:pPr>
              <w:spacing w:line="276" w:lineRule="auto"/>
              <w:ind w:firstLine="480" w:firstLineChars="200"/>
              <w:rPr>
                <w:rFonts w:hint="eastAsia"/>
                <w:bCs/>
                <w:color w:val="000000"/>
                <w:sz w:val="24"/>
              </w:rPr>
            </w:pPr>
            <w:r>
              <w:rPr>
                <w:rFonts w:hint="eastAsia"/>
                <w:bCs/>
                <w:color w:val="000000"/>
                <w:sz w:val="24"/>
              </w:rPr>
              <w:t>除按第二章“投标人须知”第5.</w:t>
            </w:r>
            <w:r>
              <w:rPr>
                <w:bCs/>
                <w:color w:val="000000"/>
                <w:sz w:val="24"/>
              </w:rPr>
              <w:t>2.</w:t>
            </w:r>
            <w:r>
              <w:rPr>
                <w:rFonts w:hint="eastAsia"/>
                <w:bCs/>
                <w:color w:val="000000"/>
                <w:sz w:val="24"/>
              </w:rPr>
              <w:t>4项规定开标现场被宣布为不进入评标基准价计算的投标报价之外，所有投标人的评标价的算术平均值即为评标价平均值。</w:t>
            </w:r>
          </w:p>
          <w:p w14:paraId="036462A7">
            <w:pPr>
              <w:spacing w:line="276" w:lineRule="auto"/>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3 \* GB3 </w:instrText>
            </w:r>
            <w:r>
              <w:rPr>
                <w:rFonts w:hint="eastAsia"/>
                <w:bCs/>
                <w:color w:val="000000"/>
                <w:sz w:val="24"/>
              </w:rPr>
              <w:fldChar w:fldCharType="separate"/>
            </w:r>
            <w:r>
              <w:rPr>
                <w:rFonts w:hint="eastAsia"/>
                <w:bCs/>
                <w:color w:val="000000"/>
                <w:sz w:val="24"/>
              </w:rPr>
              <w:t>③</w:t>
            </w:r>
            <w:r>
              <w:rPr>
                <w:rFonts w:hint="eastAsia"/>
                <w:bCs/>
                <w:color w:val="000000"/>
                <w:sz w:val="24"/>
              </w:rPr>
              <w:fldChar w:fldCharType="end"/>
            </w:r>
            <w:r>
              <w:rPr>
                <w:rFonts w:hint="eastAsia"/>
                <w:bCs/>
                <w:color w:val="000000"/>
                <w:sz w:val="24"/>
              </w:rPr>
              <w:t>评标基准价的计算：</w:t>
            </w:r>
          </w:p>
          <w:p w14:paraId="3D2946A8">
            <w:pPr>
              <w:spacing w:line="276" w:lineRule="auto"/>
              <w:ind w:firstLine="480" w:firstLineChars="200"/>
              <w:rPr>
                <w:rFonts w:hint="eastAsia"/>
                <w:bCs/>
                <w:color w:val="000000"/>
                <w:sz w:val="24"/>
              </w:rPr>
            </w:pPr>
            <w:r>
              <w:rPr>
                <w:rFonts w:hint="eastAsia"/>
                <w:bCs/>
                <w:color w:val="000000"/>
                <w:sz w:val="24"/>
              </w:rPr>
              <w:t>按照抽取的评标基准价计算方法计算评标基准价（评标基准价保留小数点后两位，小数点后第三位四舍五入）。</w:t>
            </w:r>
          </w:p>
          <w:p w14:paraId="73887864">
            <w:pPr>
              <w:ind w:firstLine="480" w:firstLineChars="200"/>
              <w:rPr>
                <w:rFonts w:hint="eastAsia"/>
                <w:bCs/>
                <w:color w:val="000000"/>
                <w:sz w:val="24"/>
              </w:rPr>
            </w:pPr>
            <w:r>
              <w:rPr>
                <w:rFonts w:hint="eastAsia"/>
                <w:bCs/>
                <w:color w:val="000000"/>
                <w:sz w:val="24"/>
              </w:rPr>
              <w:t>本次招标共设置以下三种评标基准价计算方法，在开标现场随机确定一种评标基准价计算方法，作为本次评标的评标基准价计算方法。</w:t>
            </w:r>
          </w:p>
          <w:p w14:paraId="557F7A9B">
            <w:pPr>
              <w:ind w:firstLine="480" w:firstLineChars="200"/>
              <w:rPr>
                <w:rFonts w:hint="eastAsia"/>
                <w:bCs/>
                <w:color w:val="000000"/>
                <w:sz w:val="24"/>
              </w:rPr>
            </w:pPr>
            <w:r>
              <w:rPr>
                <w:rFonts w:hint="eastAsia"/>
                <w:bCs/>
                <w:color w:val="000000"/>
                <w:sz w:val="24"/>
              </w:rPr>
              <w:t>方法</w:t>
            </w:r>
            <w:r>
              <w:rPr>
                <w:bCs/>
                <w:color w:val="000000"/>
                <w:sz w:val="24"/>
              </w:rPr>
              <w:t>1</w:t>
            </w:r>
            <w:r>
              <w:rPr>
                <w:rFonts w:hint="eastAsia"/>
                <w:bCs/>
                <w:color w:val="000000"/>
                <w:sz w:val="24"/>
              </w:rPr>
              <w:t>：评标基准价P=除按第二章“投标人须知”第5.</w:t>
            </w:r>
            <w:r>
              <w:rPr>
                <w:bCs/>
                <w:color w:val="000000"/>
                <w:sz w:val="24"/>
              </w:rPr>
              <w:t>2.</w:t>
            </w:r>
            <w:r>
              <w:rPr>
                <w:rFonts w:hint="eastAsia"/>
                <w:bCs/>
                <w:color w:val="000000"/>
                <w:sz w:val="24"/>
              </w:rPr>
              <w:t>4项规定开标现场被宣布为不进入评标基准价计算的投标报价之外，评标价去掉1个最高评标价和1个最低评标价后平均值×评标基准价系数K。</w:t>
            </w:r>
          </w:p>
          <w:p w14:paraId="168F63E7">
            <w:pPr>
              <w:ind w:firstLine="480" w:firstLineChars="200"/>
              <w:rPr>
                <w:rFonts w:hint="eastAsia"/>
                <w:bCs/>
                <w:color w:val="000000"/>
                <w:sz w:val="24"/>
              </w:rPr>
            </w:pPr>
            <w:r>
              <w:rPr>
                <w:rFonts w:hint="eastAsia"/>
                <w:bCs/>
                <w:color w:val="000000"/>
                <w:sz w:val="24"/>
              </w:rPr>
              <w:t>K为开标现场随机确定的随机调节系数，取值范围为0</w:t>
            </w:r>
            <w:r>
              <w:rPr>
                <w:bCs/>
                <w:color w:val="000000"/>
                <w:sz w:val="24"/>
              </w:rPr>
              <w:t>.980</w:t>
            </w:r>
            <w:r>
              <w:rPr>
                <w:rFonts w:hint="eastAsia"/>
                <w:bCs/>
                <w:color w:val="000000"/>
                <w:sz w:val="24"/>
              </w:rPr>
              <w:t>、0</w:t>
            </w:r>
            <w:r>
              <w:rPr>
                <w:bCs/>
                <w:color w:val="000000"/>
                <w:sz w:val="24"/>
              </w:rPr>
              <w:t>.985</w:t>
            </w:r>
            <w:r>
              <w:rPr>
                <w:rFonts w:hint="eastAsia"/>
                <w:bCs/>
                <w:color w:val="000000"/>
                <w:sz w:val="24"/>
              </w:rPr>
              <w:t>、</w:t>
            </w:r>
            <w:r>
              <w:rPr>
                <w:bCs/>
                <w:color w:val="000000"/>
                <w:sz w:val="24"/>
              </w:rPr>
              <w:t>0.990</w:t>
            </w:r>
            <w:r>
              <w:rPr>
                <w:rFonts w:hint="eastAsia"/>
                <w:bCs/>
                <w:color w:val="000000"/>
                <w:sz w:val="24"/>
              </w:rPr>
              <w:t>、</w:t>
            </w:r>
            <w:r>
              <w:rPr>
                <w:bCs/>
                <w:color w:val="000000"/>
                <w:sz w:val="24"/>
              </w:rPr>
              <w:t>0.995</w:t>
            </w:r>
            <w:r>
              <w:rPr>
                <w:rFonts w:hint="eastAsia"/>
                <w:bCs/>
                <w:color w:val="000000"/>
                <w:sz w:val="24"/>
              </w:rPr>
              <w:t>、1.00。</w:t>
            </w:r>
          </w:p>
          <w:p w14:paraId="15F8555C">
            <w:pPr>
              <w:spacing w:line="276" w:lineRule="auto"/>
              <w:ind w:firstLine="480" w:firstLineChars="200"/>
              <w:rPr>
                <w:rFonts w:hint="eastAsia"/>
                <w:bCs/>
                <w:color w:val="000000"/>
                <w:sz w:val="24"/>
              </w:rPr>
            </w:pPr>
            <w:r>
              <w:rPr>
                <w:rFonts w:hint="eastAsia"/>
                <w:bCs/>
                <w:color w:val="000000"/>
                <w:sz w:val="24"/>
              </w:rPr>
              <w:t>方法2：评标基准价P=最高投标限价×K+评标价平均值×（1-K）。</w:t>
            </w:r>
          </w:p>
          <w:p w14:paraId="72EF65FD">
            <w:pPr>
              <w:spacing w:line="276" w:lineRule="auto"/>
              <w:ind w:firstLine="480" w:firstLineChars="200"/>
              <w:rPr>
                <w:rFonts w:hint="eastAsia"/>
                <w:bCs/>
                <w:color w:val="000000"/>
                <w:sz w:val="24"/>
              </w:rPr>
            </w:pPr>
            <w:r>
              <w:rPr>
                <w:rFonts w:hint="eastAsia"/>
                <w:bCs/>
                <w:color w:val="000000"/>
                <w:sz w:val="24"/>
              </w:rPr>
              <w:t>K为开标现场随机确定的最高投标限价所占比例系数，取值范围为0.10、0.15、0.20、0.25、0.30。</w:t>
            </w:r>
          </w:p>
          <w:p w14:paraId="65288442">
            <w:pPr>
              <w:spacing w:line="276" w:lineRule="auto"/>
              <w:ind w:firstLine="480" w:firstLineChars="200"/>
              <w:rPr>
                <w:rFonts w:hint="eastAsia"/>
                <w:bCs/>
                <w:color w:val="000000"/>
                <w:sz w:val="24"/>
              </w:rPr>
            </w:pPr>
            <w:r>
              <w:rPr>
                <w:rFonts w:hint="eastAsia"/>
                <w:bCs/>
                <w:color w:val="000000"/>
                <w:sz w:val="24"/>
              </w:rPr>
              <w:t>方法3：评标价平均值与投标人报价的中位数的平均值作为评标基准价。中位数：除按第二章“投标人须知”第5.</w:t>
            </w:r>
            <w:r>
              <w:rPr>
                <w:bCs/>
                <w:color w:val="000000"/>
                <w:sz w:val="24"/>
              </w:rPr>
              <w:t>2.</w:t>
            </w:r>
            <w:r>
              <w:rPr>
                <w:rFonts w:hint="eastAsia"/>
                <w:bCs/>
                <w:color w:val="000000"/>
                <w:sz w:val="24"/>
              </w:rPr>
              <w:t>4项规定开标现场被宣布为不进入评标基准价计算的投标报价之外，把所有评标价按高低排序后找出正中间的一个作为中位数。如果评标价有偶数个，取最中间的两个数值的平均值作为中位数（平均值均保留 2 位小数）。</w:t>
            </w:r>
          </w:p>
          <w:p w14:paraId="5E66C0CD">
            <w:pPr>
              <w:spacing w:line="276" w:lineRule="auto"/>
              <w:ind w:firstLine="480" w:firstLineChars="200"/>
              <w:rPr>
                <w:rFonts w:hint="eastAsia"/>
                <w:bCs/>
                <w:color w:val="000000"/>
                <w:sz w:val="24"/>
              </w:rPr>
            </w:pPr>
            <w:r>
              <w:rPr>
                <w:rFonts w:hint="eastAsia"/>
                <w:bCs/>
                <w:color w:val="000000"/>
                <w:sz w:val="24"/>
              </w:rPr>
              <w:t>在评标过程中，评标委员会应对招标人计算的评标基准价进行复核，存在计算错误的应予以修正并在评标报告中作出说明。除此之外，评标基准价在整个评标期间保持不变，不随任何因素发生变化。</w:t>
            </w:r>
          </w:p>
          <w:p w14:paraId="26FF56BC">
            <w:pPr>
              <w:spacing w:line="320" w:lineRule="exact"/>
              <w:ind w:firstLine="480" w:firstLineChars="200"/>
              <w:rPr>
                <w:rFonts w:hint="eastAsia"/>
                <w:bCs/>
                <w:color w:val="000000"/>
                <w:sz w:val="24"/>
              </w:rPr>
            </w:pPr>
            <w:r>
              <w:rPr>
                <w:rFonts w:hint="eastAsia"/>
                <w:bCs/>
                <w:color w:val="000000"/>
                <w:sz w:val="24"/>
              </w:rPr>
              <w:t>当所有投标价都高于最高投标限价时，招标人将重新招标。</w:t>
            </w:r>
          </w:p>
          <w:p w14:paraId="2CAF311B">
            <w:pPr>
              <w:spacing w:after="120"/>
              <w:ind w:firstLine="480" w:firstLineChars="200"/>
              <w:rPr>
                <w:rFonts w:hint="eastAsia"/>
                <w:bCs/>
                <w:color w:val="000000"/>
                <w:sz w:val="24"/>
              </w:rPr>
            </w:pPr>
            <w:r>
              <w:rPr>
                <w:rFonts w:hint="eastAsia"/>
                <w:bCs/>
                <w:sz w:val="24"/>
              </w:rPr>
              <w:t>（3）</w:t>
            </w:r>
            <w:r>
              <w:rPr>
                <w:rFonts w:hint="eastAsia"/>
                <w:bCs/>
                <w:color w:val="000000"/>
                <w:sz w:val="24"/>
              </w:rPr>
              <w:t>评标价</w:t>
            </w:r>
            <w:r>
              <w:rPr>
                <w:bCs/>
                <w:color w:val="000000"/>
                <w:sz w:val="24"/>
              </w:rPr>
              <w:t>的偏差率</w:t>
            </w:r>
            <w:r>
              <w:rPr>
                <w:rFonts w:hint="eastAsia"/>
                <w:bCs/>
                <w:color w:val="000000"/>
                <w:sz w:val="24"/>
              </w:rPr>
              <w:t>计算公式</w:t>
            </w:r>
          </w:p>
          <w:p w14:paraId="57FBA53C">
            <w:pPr>
              <w:spacing w:after="120"/>
              <w:ind w:firstLine="480" w:firstLineChars="200"/>
              <w:rPr>
                <w:rFonts w:hint="eastAsia"/>
                <w:bCs/>
                <w:color w:val="000000"/>
                <w:sz w:val="24"/>
              </w:rPr>
            </w:pPr>
            <w:r>
              <w:rPr>
                <w:rFonts w:hint="eastAsia"/>
                <w:bCs/>
                <w:color w:val="000000"/>
                <w:sz w:val="24"/>
              </w:rPr>
              <w:t>偏差率</w:t>
            </w:r>
            <w:r>
              <w:rPr>
                <w:bCs/>
                <w:color w:val="000000"/>
                <w:sz w:val="24"/>
              </w:rPr>
              <w:t>=100%×（</w:t>
            </w:r>
            <w:r>
              <w:rPr>
                <w:rFonts w:hint="eastAsia"/>
                <w:bCs/>
                <w:color w:val="000000"/>
                <w:sz w:val="24"/>
              </w:rPr>
              <w:t>评标价－</w:t>
            </w:r>
            <w:r>
              <w:rPr>
                <w:bCs/>
                <w:color w:val="000000"/>
                <w:sz w:val="24"/>
              </w:rPr>
              <w:t>评标基准价）/评标基准价</w:t>
            </w:r>
          </w:p>
          <w:p w14:paraId="6BFED320">
            <w:pPr>
              <w:spacing w:after="120"/>
              <w:ind w:firstLine="480" w:firstLineChars="200"/>
              <w:rPr>
                <w:rFonts w:hint="eastAsia"/>
                <w:bCs/>
                <w:color w:val="000000"/>
                <w:sz w:val="24"/>
              </w:rPr>
            </w:pPr>
            <w:r>
              <w:rPr>
                <w:rFonts w:hint="eastAsia"/>
                <w:bCs/>
                <w:color w:val="000000"/>
                <w:sz w:val="24"/>
              </w:rPr>
              <w:t>（4）评标价得分计算公式：</w:t>
            </w:r>
          </w:p>
          <w:p w14:paraId="29F654C8">
            <w:pPr>
              <w:tabs>
                <w:tab w:val="left" w:pos="3060"/>
              </w:tabs>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1 \* GB3 </w:instrText>
            </w:r>
            <w:r>
              <w:rPr>
                <w:rFonts w:hint="eastAsia"/>
                <w:bCs/>
                <w:color w:val="000000"/>
                <w:sz w:val="24"/>
              </w:rPr>
              <w:fldChar w:fldCharType="separate"/>
            </w:r>
            <w:r>
              <w:rPr>
                <w:rFonts w:hint="eastAsia"/>
                <w:bCs/>
                <w:color w:val="000000"/>
                <w:sz w:val="24"/>
              </w:rPr>
              <w:t>①</w:t>
            </w:r>
            <w:r>
              <w:rPr>
                <w:rFonts w:hint="eastAsia"/>
                <w:bCs/>
                <w:color w:val="000000"/>
                <w:sz w:val="24"/>
              </w:rPr>
              <w:fldChar w:fldCharType="end"/>
            </w:r>
            <w:r>
              <w:rPr>
                <w:rFonts w:hint="eastAsia"/>
                <w:bCs/>
                <w:color w:val="000000"/>
                <w:sz w:val="24"/>
              </w:rPr>
              <w:t>如果投标人的评标价＞评标基准价，则评标价得分＝100－偏差率×</w:t>
            </w:r>
            <w:r>
              <w:rPr>
                <w:bCs/>
                <w:color w:val="000000"/>
                <w:sz w:val="24"/>
              </w:rPr>
              <w:t>100</w:t>
            </w:r>
            <w:r>
              <w:rPr>
                <w:rFonts w:hint="eastAsia"/>
                <w:bCs/>
                <w:color w:val="000000"/>
                <w:sz w:val="24"/>
              </w:rPr>
              <w:t>×E1；</w:t>
            </w:r>
          </w:p>
          <w:p w14:paraId="6A1F54B2">
            <w:pPr>
              <w:tabs>
                <w:tab w:val="left" w:pos="3060"/>
              </w:tabs>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2 \* GB3 </w:instrText>
            </w:r>
            <w:r>
              <w:rPr>
                <w:rFonts w:hint="eastAsia"/>
                <w:bCs/>
                <w:color w:val="000000"/>
                <w:sz w:val="24"/>
              </w:rPr>
              <w:fldChar w:fldCharType="separate"/>
            </w:r>
            <w:r>
              <w:rPr>
                <w:rFonts w:hint="eastAsia"/>
                <w:bCs/>
                <w:color w:val="000000"/>
                <w:sz w:val="24"/>
              </w:rPr>
              <w:t>②</w:t>
            </w:r>
            <w:r>
              <w:rPr>
                <w:rFonts w:hint="eastAsia"/>
                <w:bCs/>
                <w:color w:val="000000"/>
                <w:sz w:val="24"/>
              </w:rPr>
              <w:fldChar w:fldCharType="end"/>
            </w:r>
            <w:r>
              <w:rPr>
                <w:rFonts w:hint="eastAsia"/>
                <w:bCs/>
                <w:color w:val="000000"/>
                <w:sz w:val="24"/>
              </w:rPr>
              <w:t>如果投标人的评标价≤评标基准价，则评标价得分＝10</w:t>
            </w:r>
            <w:r>
              <w:rPr>
                <w:bCs/>
                <w:color w:val="000000"/>
                <w:sz w:val="24"/>
              </w:rPr>
              <w:t>0</w:t>
            </w:r>
            <w:r>
              <w:rPr>
                <w:rFonts w:hint="eastAsia"/>
                <w:bCs/>
                <w:color w:val="000000"/>
                <w:sz w:val="24"/>
              </w:rPr>
              <w:t>＋偏差率×1</w:t>
            </w:r>
            <w:r>
              <w:rPr>
                <w:bCs/>
                <w:color w:val="000000"/>
                <w:sz w:val="24"/>
              </w:rPr>
              <w:t>00</w:t>
            </w:r>
            <w:r>
              <w:rPr>
                <w:rFonts w:hint="eastAsia"/>
                <w:bCs/>
                <w:color w:val="000000"/>
                <w:sz w:val="24"/>
              </w:rPr>
              <w:t>×E2；</w:t>
            </w:r>
          </w:p>
          <w:p w14:paraId="4F011AE9">
            <w:pPr>
              <w:tabs>
                <w:tab w:val="left" w:pos="3060"/>
              </w:tabs>
              <w:ind w:firstLine="480" w:firstLineChars="200"/>
              <w:rPr>
                <w:rFonts w:hint="eastAsia"/>
                <w:bCs/>
                <w:color w:val="000000"/>
                <w:sz w:val="24"/>
              </w:rPr>
            </w:pPr>
            <w:r>
              <w:rPr>
                <w:rFonts w:hint="eastAsia"/>
                <w:bCs/>
                <w:color w:val="000000"/>
                <w:sz w:val="24"/>
              </w:rPr>
              <w:t>其中，E1是评标价每高于评标基准价一个百分点的扣分值，</w:t>
            </w:r>
            <w:r>
              <w:rPr>
                <w:rFonts w:hint="eastAsia"/>
                <w:bCs/>
                <w:color w:val="000000"/>
                <w:spacing w:val="-2"/>
                <w:sz w:val="24"/>
              </w:rPr>
              <w:t>E1＝2；E2是评标价每低于评标基准价一个百分点的扣分值，E2＝1</w:t>
            </w:r>
            <w:r>
              <w:rPr>
                <w:rFonts w:hint="eastAsia"/>
                <w:bCs/>
                <w:color w:val="000000"/>
                <w:sz w:val="24"/>
              </w:rPr>
              <w:t>。</w:t>
            </w:r>
          </w:p>
          <w:p w14:paraId="78724C36">
            <w:pPr>
              <w:spacing w:after="120"/>
              <w:ind w:firstLine="480" w:firstLineChars="200"/>
              <w:rPr>
                <w:rFonts w:hint="eastAsia"/>
                <w:bCs/>
                <w:sz w:val="24"/>
              </w:rPr>
            </w:pPr>
            <w:r>
              <w:rPr>
                <w:rFonts w:hint="eastAsia"/>
                <w:bCs/>
                <w:color w:val="000000"/>
                <w:sz w:val="24"/>
              </w:rPr>
              <w:t>评标价最低得分为</w:t>
            </w:r>
            <w:r>
              <w:rPr>
                <w:bCs/>
                <w:color w:val="000000"/>
                <w:sz w:val="24"/>
              </w:rPr>
              <w:t>0</w:t>
            </w:r>
            <w:r>
              <w:rPr>
                <w:rFonts w:hint="eastAsia"/>
                <w:bCs/>
                <w:color w:val="000000"/>
                <w:sz w:val="24"/>
              </w:rPr>
              <w:t>分，评标价得分保留两位小数，第三位四舍五入。</w:t>
            </w:r>
          </w:p>
        </w:tc>
      </w:tr>
      <w:tr w14:paraId="3D8E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3802D487">
            <w:pPr>
              <w:jc w:val="center"/>
              <w:rPr>
                <w:rFonts w:hint="eastAsia" w:cs="宋体"/>
                <w:color w:val="000000"/>
                <w:sz w:val="24"/>
              </w:rPr>
            </w:pPr>
            <w:r>
              <w:rPr>
                <w:rFonts w:hint="eastAsia" w:cs="宋体"/>
                <w:color w:val="000000"/>
                <w:sz w:val="24"/>
              </w:rPr>
              <w:t>3</w:t>
            </w:r>
            <w:r>
              <w:rPr>
                <w:rFonts w:cs="宋体"/>
                <w:color w:val="000000"/>
                <w:sz w:val="24"/>
              </w:rPr>
              <w:t>.2.4</w:t>
            </w:r>
          </w:p>
        </w:tc>
        <w:tc>
          <w:tcPr>
            <w:tcW w:w="1246" w:type="dxa"/>
            <w:vAlign w:val="center"/>
          </w:tcPr>
          <w:p w14:paraId="5FA006D3">
            <w:pPr>
              <w:spacing w:line="320" w:lineRule="exact"/>
              <w:jc w:val="center"/>
              <w:rPr>
                <w:rFonts w:hint="eastAsia"/>
                <w:color w:val="000000"/>
                <w:sz w:val="24"/>
              </w:rPr>
            </w:pPr>
            <w:r>
              <w:rPr>
                <w:rFonts w:hint="eastAsia" w:cs="仿宋"/>
                <w:color w:val="000000"/>
                <w:sz w:val="24"/>
              </w:rPr>
              <w:t>通过第一个信封详细评审的投标人数量</w:t>
            </w:r>
          </w:p>
        </w:tc>
        <w:tc>
          <w:tcPr>
            <w:tcW w:w="7106" w:type="dxa"/>
            <w:vAlign w:val="center"/>
          </w:tcPr>
          <w:p w14:paraId="1932A6F2">
            <w:pPr>
              <w:tabs>
                <w:tab w:val="left" w:pos="3060"/>
              </w:tabs>
              <w:spacing w:line="320" w:lineRule="exact"/>
              <w:ind w:firstLine="240" w:firstLineChars="100"/>
              <w:rPr>
                <w:rFonts w:hint="eastAsia" w:cs="宋体"/>
                <w:color w:val="000000"/>
                <w:sz w:val="24"/>
              </w:rPr>
            </w:pPr>
            <w:r>
              <w:rPr>
                <w:rFonts w:hint="eastAsia" w:cs="宋体"/>
                <w:color w:val="000000"/>
                <w:sz w:val="24"/>
              </w:rPr>
              <w:t>本款修改为：</w:t>
            </w:r>
          </w:p>
          <w:p w14:paraId="473B40AB">
            <w:pPr>
              <w:tabs>
                <w:tab w:val="left" w:pos="3060"/>
              </w:tabs>
              <w:spacing w:line="320" w:lineRule="exact"/>
              <w:ind w:firstLine="240" w:firstLineChars="100"/>
              <w:rPr>
                <w:rFonts w:hint="eastAsia" w:cs="宋体"/>
                <w:color w:val="000000"/>
                <w:sz w:val="24"/>
              </w:rPr>
            </w:pPr>
            <w:r>
              <w:rPr>
                <w:rFonts w:hint="eastAsia" w:cs="宋体"/>
                <w:color w:val="000000"/>
                <w:sz w:val="24"/>
              </w:rPr>
              <w:t>按照投标人的商务和技术得分由高到低排序，选择前</w:t>
            </w:r>
            <w:r>
              <w:rPr>
                <w:rFonts w:hint="eastAsia" w:cs="宋体"/>
                <w:color w:val="000000"/>
                <w:sz w:val="24"/>
                <w:u w:val="single"/>
              </w:rPr>
              <w:t>5</w:t>
            </w:r>
            <w:r>
              <w:rPr>
                <w:rFonts w:hint="eastAsia" w:cs="宋体"/>
                <w:color w:val="000000"/>
                <w:sz w:val="24"/>
              </w:rPr>
              <w:t>名通过详细评审。</w:t>
            </w:r>
          </w:p>
          <w:p w14:paraId="472CC726">
            <w:pPr>
              <w:tabs>
                <w:tab w:val="left" w:pos="3060"/>
              </w:tabs>
              <w:spacing w:line="320" w:lineRule="exact"/>
              <w:ind w:firstLine="240" w:firstLineChars="100"/>
              <w:rPr>
                <w:rFonts w:hint="eastAsia" w:cs="宋体"/>
                <w:color w:val="000000"/>
                <w:sz w:val="24"/>
              </w:rPr>
            </w:pPr>
            <w:r>
              <w:rPr>
                <w:rFonts w:hint="eastAsia" w:cs="宋体"/>
                <w:color w:val="000000"/>
                <w:sz w:val="24"/>
              </w:rPr>
              <w:t>商务和技术得分相等时，评标委员会依次按照以下优先顺序通过详细评审：</w:t>
            </w:r>
          </w:p>
          <w:p w14:paraId="1BE0CD48">
            <w:pPr>
              <w:adjustRightInd w:val="0"/>
              <w:snapToGrid w:val="0"/>
              <w:spacing w:line="276" w:lineRule="auto"/>
              <w:ind w:right="113"/>
              <w:rPr>
                <w:rFonts w:hint="eastAsia" w:cs="宋体"/>
                <w:color w:val="000000"/>
                <w:sz w:val="24"/>
              </w:rPr>
            </w:pPr>
            <w:r>
              <w:rPr>
                <w:rFonts w:hint="eastAsia" w:cs="宋体"/>
                <w:color w:val="000000"/>
                <w:sz w:val="24"/>
              </w:rPr>
              <w:t>（</w:t>
            </w:r>
            <w:r>
              <w:rPr>
                <w:rFonts w:cs="宋体"/>
                <w:color w:val="000000"/>
                <w:sz w:val="24"/>
              </w:rPr>
              <w:t>1）</w:t>
            </w:r>
            <w:r>
              <w:rPr>
                <w:rFonts w:hint="eastAsia" w:cs="仿宋"/>
                <w:sz w:val="24"/>
              </w:rPr>
              <w:t>施工组织设计</w:t>
            </w:r>
            <w:r>
              <w:rPr>
                <w:rFonts w:cs="宋体"/>
                <w:color w:val="000000"/>
                <w:sz w:val="24"/>
              </w:rPr>
              <w:t>得分较高的投标人优先；</w:t>
            </w:r>
          </w:p>
          <w:p w14:paraId="1A2FF9C8">
            <w:pPr>
              <w:adjustRightInd w:val="0"/>
              <w:snapToGrid w:val="0"/>
              <w:spacing w:line="276" w:lineRule="auto"/>
              <w:ind w:right="113"/>
              <w:rPr>
                <w:rFonts w:hint="eastAsia"/>
                <w:color w:val="000000"/>
                <w:sz w:val="24"/>
              </w:rPr>
            </w:pPr>
            <w:r>
              <w:rPr>
                <w:rFonts w:hint="eastAsia" w:cs="宋体"/>
                <w:color w:val="000000"/>
                <w:sz w:val="24"/>
              </w:rPr>
              <w:t>（</w:t>
            </w:r>
            <w:r>
              <w:rPr>
                <w:rFonts w:cs="宋体"/>
                <w:color w:val="000000"/>
                <w:sz w:val="24"/>
              </w:rPr>
              <w:t>2）满足资格审查条件(业绩最低</w:t>
            </w:r>
            <w:r>
              <w:rPr>
                <w:rFonts w:hint="eastAsia" w:cs="宋体"/>
                <w:color w:val="000000"/>
                <w:sz w:val="24"/>
              </w:rPr>
              <w:t>要求</w:t>
            </w:r>
            <w:r>
              <w:rPr>
                <w:rFonts w:cs="宋体"/>
                <w:color w:val="000000"/>
                <w:sz w:val="24"/>
              </w:rPr>
              <w:t>)要求的施工业绩</w:t>
            </w:r>
            <w:r>
              <w:rPr>
                <w:rFonts w:hint="eastAsia" w:cs="宋体"/>
                <w:color w:val="000000"/>
                <w:sz w:val="24"/>
              </w:rPr>
              <w:t>累计</w:t>
            </w:r>
            <w:r>
              <w:rPr>
                <w:rFonts w:cs="宋体"/>
                <w:color w:val="000000"/>
                <w:sz w:val="24"/>
              </w:rPr>
              <w:t>合同额高的优先。</w:t>
            </w:r>
          </w:p>
        </w:tc>
      </w:tr>
      <w:tr w14:paraId="1E77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12FE2B7B">
            <w:pPr>
              <w:jc w:val="center"/>
              <w:rPr>
                <w:rFonts w:hint="eastAsia" w:cs="宋体"/>
                <w:color w:val="000000"/>
                <w:sz w:val="24"/>
              </w:rPr>
            </w:pPr>
            <w:r>
              <w:rPr>
                <w:rFonts w:hint="eastAsia" w:cs="宋体"/>
                <w:color w:val="000000"/>
                <w:sz w:val="24"/>
              </w:rPr>
              <w:t>3.2.5</w:t>
            </w:r>
          </w:p>
        </w:tc>
        <w:tc>
          <w:tcPr>
            <w:tcW w:w="8352" w:type="dxa"/>
            <w:gridSpan w:val="2"/>
            <w:vAlign w:val="center"/>
          </w:tcPr>
          <w:p w14:paraId="3BD6C548">
            <w:pPr>
              <w:adjustRightInd w:val="0"/>
              <w:snapToGrid w:val="0"/>
              <w:spacing w:line="320" w:lineRule="exact"/>
              <w:ind w:firstLine="480" w:firstLineChars="200"/>
              <w:rPr>
                <w:rFonts w:hint="eastAsia"/>
                <w:sz w:val="24"/>
              </w:rPr>
            </w:pPr>
            <w:r>
              <w:rPr>
                <w:rFonts w:hint="eastAsia"/>
                <w:sz w:val="24"/>
              </w:rPr>
              <w:t>本款修改为：</w:t>
            </w:r>
          </w:p>
          <w:p w14:paraId="395B2C74">
            <w:pPr>
              <w:adjustRightInd w:val="0"/>
              <w:snapToGrid w:val="0"/>
              <w:spacing w:line="320" w:lineRule="exact"/>
              <w:ind w:firstLine="480" w:firstLineChars="200"/>
              <w:rPr>
                <w:rFonts w:hint="eastAsia"/>
                <w:sz w:val="24"/>
              </w:rPr>
            </w:pPr>
            <w:r>
              <w:rPr>
                <w:rFonts w:hint="eastAsia"/>
                <w:sz w:val="24"/>
              </w:rPr>
              <w:t>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79C53B0C">
            <w:pPr>
              <w:tabs>
                <w:tab w:val="left" w:pos="3060"/>
              </w:tabs>
              <w:spacing w:line="320" w:lineRule="exact"/>
              <w:ind w:firstLine="480" w:firstLineChars="200"/>
              <w:rPr>
                <w:rFonts w:hint="eastAsia" w:cs="宋体"/>
                <w:color w:val="000000"/>
                <w:sz w:val="24"/>
              </w:rPr>
            </w:pPr>
            <w:r>
              <w:rPr>
                <w:rFonts w:hint="eastAsia"/>
                <w:sz w:val="24"/>
              </w:rPr>
              <w:t>通过投标文件第一个信封（商务及技术文件）初步评审的投标人少于3个的，</w:t>
            </w:r>
            <w:r>
              <w:rPr>
                <w:rFonts w:hint="eastAsia" w:cs="宋体"/>
                <w:kern w:val="0"/>
                <w:sz w:val="24"/>
              </w:rPr>
              <w:t>评标委员会可以否决全部投标；未否决全部投标的，</w:t>
            </w:r>
            <w:r>
              <w:rPr>
                <w:rFonts w:hint="eastAsia"/>
                <w:sz w:val="24"/>
              </w:rPr>
              <w:t>通过投标文件第一个信封（商务及技术文件）详细评审，不再对投标人的商务和技术文件进行评分，</w:t>
            </w:r>
            <w:r>
              <w:rPr>
                <w:rFonts w:hint="eastAsia" w:cs="宋体"/>
                <w:kern w:val="0"/>
                <w:sz w:val="24"/>
              </w:rPr>
              <w:t>评标委员会应当在评标报告中阐明理由</w:t>
            </w:r>
            <w:r>
              <w:rPr>
                <w:rFonts w:hint="eastAsia"/>
                <w:sz w:val="24"/>
              </w:rPr>
              <w:t>。</w:t>
            </w:r>
          </w:p>
        </w:tc>
      </w:tr>
      <w:tr w14:paraId="66C5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608DC58A">
            <w:pPr>
              <w:jc w:val="center"/>
              <w:rPr>
                <w:rFonts w:ascii="Times New Roman" w:hAnsi="Times New Roman" w:cs="宋体"/>
                <w:color w:val="000000"/>
                <w:sz w:val="24"/>
              </w:rPr>
            </w:pPr>
            <w:r>
              <w:rPr>
                <w:rFonts w:hint="eastAsia" w:cs="宋体"/>
                <w:color w:val="000000"/>
                <w:sz w:val="24"/>
              </w:rPr>
              <w:t>3.5.2</w:t>
            </w:r>
          </w:p>
        </w:tc>
        <w:tc>
          <w:tcPr>
            <w:tcW w:w="8352" w:type="dxa"/>
            <w:gridSpan w:val="2"/>
            <w:vAlign w:val="center"/>
          </w:tcPr>
          <w:p w14:paraId="39E023B0">
            <w:pPr>
              <w:adjustRightInd w:val="0"/>
              <w:snapToGrid w:val="0"/>
              <w:spacing w:line="320" w:lineRule="exact"/>
              <w:ind w:firstLine="480" w:firstLineChars="200"/>
              <w:rPr>
                <w:rFonts w:hint="eastAsia"/>
                <w:sz w:val="24"/>
              </w:rPr>
            </w:pPr>
            <w:r>
              <w:rPr>
                <w:rFonts w:hint="eastAsia"/>
                <w:sz w:val="24"/>
              </w:rPr>
              <w:t>本款修改为：评标委员会发现投标人的投标报价低于最高投标限价的60%，</w:t>
            </w:r>
            <w:r>
              <w:rPr>
                <w:rFonts w:hint="eastAsia"/>
                <w:color w:val="000000"/>
                <w:kern w:val="0"/>
                <w:sz w:val="24"/>
                <w:lang w:bidi="en-US"/>
              </w:rPr>
              <w:t>应要求该投标人作出书面说明并提供相应的证明材料。投标人不能合理说明或不能提供相应证明材料的，由评标委员会认定该投标人以低于成本报价竞标，并否决其投标。</w:t>
            </w:r>
          </w:p>
        </w:tc>
      </w:tr>
      <w:tr w14:paraId="1EAF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515423BE">
            <w:pPr>
              <w:jc w:val="center"/>
              <w:rPr>
                <w:rFonts w:ascii="Times New Roman" w:hAnsi="Times New Roman" w:cs="宋体"/>
                <w:color w:val="000000"/>
                <w:sz w:val="24"/>
              </w:rPr>
            </w:pPr>
            <w:r>
              <w:rPr>
                <w:rFonts w:hint="eastAsia" w:cs="宋体"/>
                <w:color w:val="000000"/>
                <w:sz w:val="24"/>
              </w:rPr>
              <w:t>3.6.1</w:t>
            </w:r>
          </w:p>
        </w:tc>
        <w:tc>
          <w:tcPr>
            <w:tcW w:w="8352" w:type="dxa"/>
            <w:gridSpan w:val="2"/>
            <w:vAlign w:val="center"/>
          </w:tcPr>
          <w:p w14:paraId="23EC0D76">
            <w:pPr>
              <w:spacing w:line="276" w:lineRule="auto"/>
              <w:jc w:val="left"/>
              <w:rPr>
                <w:rFonts w:hint="eastAsia"/>
                <w:color w:val="000000"/>
                <w:spacing w:val="-4"/>
                <w:kern w:val="28"/>
                <w:sz w:val="24"/>
              </w:rPr>
            </w:pPr>
            <w:r>
              <w:rPr>
                <w:rFonts w:hint="eastAsia"/>
                <w:color w:val="000000"/>
                <w:spacing w:val="-4"/>
                <w:kern w:val="28"/>
                <w:sz w:val="24"/>
              </w:rPr>
              <w:t>本条修改为：</w:t>
            </w:r>
          </w:p>
          <w:p w14:paraId="31CD2EC0">
            <w:pPr>
              <w:autoSpaceDE w:val="0"/>
              <w:autoSpaceDN w:val="0"/>
              <w:spacing w:line="276" w:lineRule="auto"/>
              <w:ind w:firstLine="480" w:firstLineChars="200"/>
              <w:rPr>
                <w:rFonts w:hint="eastAsia" w:cs="宋体"/>
                <w:color w:val="000000"/>
                <w:sz w:val="24"/>
              </w:rPr>
            </w:pPr>
            <w:r>
              <w:rPr>
                <w:rFonts w:hint="eastAsia" w:cs="宋体"/>
                <w:color w:val="000000"/>
                <w:sz w:val="24"/>
              </w:rPr>
              <w:t>在评标过程中，评标委员会应对投标人以下信息进行查询：</w:t>
            </w:r>
          </w:p>
          <w:p w14:paraId="27874F26">
            <w:pPr>
              <w:autoSpaceDE w:val="0"/>
              <w:autoSpaceDN w:val="0"/>
              <w:spacing w:line="276" w:lineRule="auto"/>
              <w:ind w:firstLine="480" w:firstLineChars="200"/>
              <w:rPr>
                <w:rFonts w:hint="eastAsia" w:cs="宋体"/>
                <w:color w:val="000000"/>
                <w:sz w:val="24"/>
              </w:rPr>
            </w:pPr>
            <w:r>
              <w:rPr>
                <w:rFonts w:hint="eastAsia" w:cs="宋体"/>
                <w:color w:val="000000"/>
                <w:sz w:val="24"/>
              </w:rPr>
              <w:t>（1）投标人名称和资质与“全国公路建设市场监督管理系统（https://hwdms.mot.gov.cn）”施工企业名录（养护资质不适用）的复核结果一致；</w:t>
            </w:r>
          </w:p>
          <w:p w14:paraId="0CF41EA7">
            <w:pPr>
              <w:autoSpaceDE w:val="0"/>
              <w:autoSpaceDN w:val="0"/>
              <w:spacing w:line="276" w:lineRule="auto"/>
              <w:ind w:firstLine="480" w:firstLineChars="200"/>
              <w:rPr>
                <w:rFonts w:hint="eastAsia" w:cs="宋体"/>
                <w:color w:val="000000"/>
                <w:sz w:val="24"/>
              </w:rPr>
            </w:pPr>
            <w:r>
              <w:rPr>
                <w:rFonts w:hint="eastAsia" w:cs="宋体"/>
                <w:color w:val="000000"/>
                <w:sz w:val="24"/>
              </w:rPr>
              <w:t>（2）投标人所附业绩详细信息网页截图的内容与“全国公路建设市场监督管理系统（https://hwdms.mot.gov.cn）”的复核结果一致；（养护资质不适用）</w:t>
            </w:r>
          </w:p>
          <w:p w14:paraId="0C48A8D7">
            <w:pPr>
              <w:autoSpaceDE w:val="0"/>
              <w:autoSpaceDN w:val="0"/>
              <w:spacing w:line="276" w:lineRule="auto"/>
              <w:ind w:firstLine="480" w:firstLineChars="200"/>
              <w:rPr>
                <w:rFonts w:hint="eastAsia" w:cs="宋体"/>
                <w:color w:val="000000"/>
                <w:sz w:val="24"/>
              </w:rPr>
            </w:pPr>
            <w:r>
              <w:rPr>
                <w:rFonts w:hint="eastAsia" w:cs="宋体"/>
                <w:color w:val="000000"/>
                <w:sz w:val="24"/>
              </w:rPr>
              <w:t>（3）投标人所附项目经理、项目总工业绩的网页截图复印件与“全国公路建设市场监督管理系统（https://hwdms.mot.gov.cn）”的核查结果一致，并满足招标文件资格审查条件要求；（养护资质单位人员不适用）</w:t>
            </w:r>
          </w:p>
          <w:p w14:paraId="5A81EE1C">
            <w:pPr>
              <w:autoSpaceDE w:val="0"/>
              <w:autoSpaceDN w:val="0"/>
              <w:spacing w:line="276" w:lineRule="auto"/>
              <w:ind w:firstLine="480" w:firstLineChars="200"/>
              <w:rPr>
                <w:rFonts w:hint="eastAsia" w:cs="宋体"/>
                <w:color w:val="000000"/>
                <w:sz w:val="24"/>
              </w:rPr>
            </w:pPr>
            <w:r>
              <w:rPr>
                <w:rFonts w:hint="eastAsia" w:cs="宋体"/>
                <w:color w:val="000000"/>
                <w:sz w:val="24"/>
              </w:rPr>
              <w:t>所附项目经理一级注册建造师信息的网页截图复印件与“全国建筑市场监管公共服务平台（http://jzsc.mohurd.gov.cn/）”核查的结果一致，并满足招标文件资格审查条件要求。项目经理的建造师注册证书的注册单位名称必须与投标人名称一致；</w:t>
            </w:r>
          </w:p>
          <w:p w14:paraId="4598963E">
            <w:pPr>
              <w:autoSpaceDE w:val="0"/>
              <w:autoSpaceDN w:val="0"/>
              <w:spacing w:line="276" w:lineRule="auto"/>
              <w:ind w:firstLine="480" w:firstLineChars="200"/>
              <w:rPr>
                <w:rFonts w:hint="eastAsia" w:cs="宋体"/>
                <w:color w:val="000000"/>
                <w:sz w:val="24"/>
              </w:rPr>
            </w:pPr>
            <w:r>
              <w:rPr>
                <w:rFonts w:hint="eastAsia" w:cs="宋体"/>
                <w:color w:val="000000"/>
                <w:sz w:val="24"/>
              </w:rPr>
              <w:t>（4）投标人信用情况网页截图内容与在“国家企业信用信息公示系统”中严重违法失信名单（黑名单）信息（不含分公司）或在“信用中国”网站中失信被执行人、经营（活动）异常名录查询、重大税收违法失信主体名单、安全生产严重失信主体名单、政府采购严重违法失信行为记录名单（均不含分公司）的复核结果一致。</w:t>
            </w:r>
          </w:p>
          <w:p w14:paraId="09C89BD9">
            <w:pPr>
              <w:autoSpaceDE w:val="0"/>
              <w:autoSpaceDN w:val="0"/>
              <w:spacing w:line="276" w:lineRule="auto"/>
              <w:ind w:firstLine="480" w:firstLineChars="200"/>
              <w:rPr>
                <w:rFonts w:hint="eastAsia" w:cs="宋体"/>
                <w:color w:val="000000"/>
                <w:sz w:val="24"/>
              </w:rPr>
            </w:pPr>
            <w:r>
              <w:rPr>
                <w:rFonts w:hint="eastAsia" w:cs="宋体"/>
                <w:color w:val="000000"/>
                <w:sz w:val="24"/>
              </w:rPr>
              <w:t>投标人未提供相关网页截图或所附截图与复核结果不一致导致不能满足资格评审要求的，评标委员会应否决其投标。</w:t>
            </w:r>
          </w:p>
          <w:p w14:paraId="700F86B5">
            <w:pPr>
              <w:adjustRightInd w:val="0"/>
              <w:snapToGrid w:val="0"/>
              <w:spacing w:line="320" w:lineRule="exact"/>
              <w:ind w:firstLine="480" w:firstLineChars="200"/>
              <w:rPr>
                <w:rFonts w:ascii="Times New Roman" w:hAnsi="Times New Roman"/>
                <w:sz w:val="24"/>
              </w:rPr>
            </w:pPr>
            <w:r>
              <w:rPr>
                <w:rFonts w:hint="eastAsia" w:cs="宋体"/>
                <w:color w:val="000000"/>
                <w:sz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2FEE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55A8CDED">
            <w:pPr>
              <w:jc w:val="center"/>
              <w:rPr>
                <w:rFonts w:hint="eastAsia" w:cs="宋体"/>
                <w:color w:val="000000"/>
                <w:sz w:val="24"/>
              </w:rPr>
            </w:pPr>
            <w:r>
              <w:rPr>
                <w:rFonts w:hint="eastAsia" w:cs="宋体"/>
                <w:color w:val="000000"/>
                <w:sz w:val="24"/>
              </w:rPr>
              <w:t>3.6.3</w:t>
            </w:r>
          </w:p>
        </w:tc>
        <w:tc>
          <w:tcPr>
            <w:tcW w:w="8352" w:type="dxa"/>
            <w:gridSpan w:val="2"/>
            <w:vAlign w:val="center"/>
          </w:tcPr>
          <w:p w14:paraId="47F0D643">
            <w:pPr>
              <w:spacing w:line="276" w:lineRule="auto"/>
              <w:jc w:val="left"/>
              <w:rPr>
                <w:rFonts w:hint="eastAsia"/>
                <w:color w:val="000000"/>
                <w:kern w:val="0"/>
                <w:sz w:val="24"/>
              </w:rPr>
            </w:pPr>
            <w:r>
              <w:rPr>
                <w:rFonts w:hint="eastAsia"/>
                <w:color w:val="000000"/>
                <w:sz w:val="24"/>
              </w:rPr>
              <w:t>增加：3.6.3异常投标情形</w:t>
            </w:r>
          </w:p>
          <w:p w14:paraId="7D58A805">
            <w:pPr>
              <w:spacing w:line="276" w:lineRule="auto"/>
              <w:ind w:firstLine="480" w:firstLineChars="200"/>
              <w:jc w:val="left"/>
              <w:rPr>
                <w:rFonts w:hint="eastAsia"/>
                <w:color w:val="000000"/>
                <w:kern w:val="0"/>
                <w:sz w:val="24"/>
              </w:rPr>
            </w:pPr>
            <w:r>
              <w:rPr>
                <w:rFonts w:hint="eastAsia"/>
                <w:color w:val="000000"/>
                <w:kern w:val="0"/>
                <w:sz w:val="24"/>
              </w:rPr>
              <w:t>评标委员会发现以下情形之一时，应当要求投标人作出书面解释说明并提供相应的证明材料，</w:t>
            </w:r>
            <w:r>
              <w:rPr>
                <w:rFonts w:hint="eastAsia"/>
                <w:color w:val="000000"/>
                <w:kern w:val="0"/>
                <w:sz w:val="24"/>
                <w:lang w:bidi="en-US"/>
              </w:rPr>
              <w:t>投标人不能合理说明或不能提供相应证明材料的，由评标委员会认定投标人</w:t>
            </w:r>
            <w:r>
              <w:rPr>
                <w:color w:val="000000"/>
                <w:kern w:val="0"/>
                <w:sz w:val="24"/>
              </w:rPr>
              <w:t>存在串通投标等违法行为</w:t>
            </w:r>
            <w:r>
              <w:rPr>
                <w:rFonts w:hint="eastAsia"/>
                <w:color w:val="000000"/>
                <w:kern w:val="0"/>
                <w:sz w:val="24"/>
              </w:rPr>
              <w:t>的</w:t>
            </w:r>
            <w:r>
              <w:rPr>
                <w:rFonts w:hint="eastAsia"/>
                <w:color w:val="000000"/>
                <w:kern w:val="0"/>
                <w:sz w:val="24"/>
                <w:lang w:bidi="en-US"/>
              </w:rPr>
              <w:t>，应否决其投标。</w:t>
            </w:r>
          </w:p>
          <w:p w14:paraId="4D32C64B">
            <w:pPr>
              <w:adjustRightInd w:val="0"/>
              <w:snapToGrid w:val="0"/>
              <w:spacing w:line="320" w:lineRule="exact"/>
              <w:ind w:firstLine="480" w:firstLineChars="200"/>
              <w:rPr>
                <w:rFonts w:hint="eastAsia"/>
                <w:sz w:val="24"/>
              </w:rPr>
            </w:pPr>
            <w:r>
              <w:rPr>
                <w:rFonts w:hint="eastAsia"/>
                <w:color w:val="000000"/>
                <w:sz w:val="24"/>
              </w:rPr>
              <w:t>投标人投标文件制作机器码雷同、投标文件创建标识码雷同、投标文件制作计算机MAC地址雷同、投标文件制作计算机硬盘序列号雷同、</w:t>
            </w:r>
            <w:r>
              <w:rPr>
                <w:color w:val="000000"/>
                <w:sz w:val="24"/>
              </w:rPr>
              <w:t>招标文件下载IP</w:t>
            </w:r>
            <w:r>
              <w:rPr>
                <w:rFonts w:hint="eastAsia"/>
                <w:color w:val="000000"/>
                <w:sz w:val="24"/>
              </w:rPr>
              <w:t>地址雷同、投标文件上传IP地址雷同、投标文件解密IP地址雷同。</w:t>
            </w:r>
          </w:p>
        </w:tc>
      </w:tr>
    </w:tbl>
    <w:p w14:paraId="5CC6C650">
      <w:pPr>
        <w:adjustRightInd w:val="0"/>
        <w:snapToGrid w:val="0"/>
        <w:spacing w:before="156" w:beforeLines="50" w:line="440" w:lineRule="exact"/>
        <w:ind w:firstLine="240" w:firstLineChars="100"/>
        <w:jc w:val="left"/>
        <w:rPr>
          <w:rFonts w:hint="eastAsia"/>
          <w:color w:val="000000"/>
          <w:sz w:val="24"/>
        </w:rPr>
      </w:pPr>
      <w:r>
        <w:rPr>
          <w:color w:val="000000"/>
          <w:sz w:val="24"/>
        </w:rPr>
        <w:br w:type="page"/>
      </w:r>
    </w:p>
    <w:tbl>
      <w:tblPr>
        <w:tblStyle w:val="15"/>
        <w:tblW w:w="52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877"/>
        <w:gridCol w:w="848"/>
        <w:gridCol w:w="1237"/>
        <w:gridCol w:w="618"/>
        <w:gridCol w:w="4370"/>
      </w:tblGrid>
      <w:tr w14:paraId="0A30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blHeader/>
          <w:jc w:val="center"/>
        </w:trPr>
        <w:tc>
          <w:tcPr>
            <w:tcW w:w="839" w:type="dxa"/>
            <w:vAlign w:val="center"/>
          </w:tcPr>
          <w:p w14:paraId="50B2D709">
            <w:pPr>
              <w:jc w:val="center"/>
              <w:rPr>
                <w:rFonts w:hint="eastAsia"/>
                <w:color w:val="000000"/>
                <w:sz w:val="24"/>
              </w:rPr>
            </w:pPr>
            <w:r>
              <w:rPr>
                <w:rFonts w:hint="eastAsia" w:cs="宋体"/>
                <w:b/>
                <w:color w:val="000000"/>
                <w:sz w:val="24"/>
              </w:rPr>
              <w:t>条款号</w:t>
            </w:r>
          </w:p>
        </w:tc>
        <w:tc>
          <w:tcPr>
            <w:tcW w:w="958" w:type="dxa"/>
            <w:vAlign w:val="center"/>
          </w:tcPr>
          <w:p w14:paraId="77F0444A">
            <w:pPr>
              <w:jc w:val="center"/>
              <w:rPr>
                <w:rFonts w:hint="eastAsia"/>
                <w:color w:val="000000"/>
                <w:sz w:val="24"/>
              </w:rPr>
            </w:pPr>
            <w:r>
              <w:rPr>
                <w:rFonts w:hint="eastAsia" w:cs="宋体"/>
                <w:b/>
                <w:color w:val="000000"/>
                <w:sz w:val="24"/>
              </w:rPr>
              <w:t>评分因素</w:t>
            </w:r>
          </w:p>
        </w:tc>
        <w:tc>
          <w:tcPr>
            <w:tcW w:w="927" w:type="dxa"/>
            <w:vAlign w:val="center"/>
          </w:tcPr>
          <w:p w14:paraId="5778CAC9">
            <w:pPr>
              <w:jc w:val="center"/>
              <w:rPr>
                <w:rFonts w:hint="eastAsia"/>
                <w:color w:val="000000"/>
                <w:sz w:val="24"/>
              </w:rPr>
            </w:pPr>
            <w:r>
              <w:rPr>
                <w:rFonts w:hint="eastAsia" w:cs="宋体"/>
                <w:b/>
                <w:color w:val="000000"/>
                <w:sz w:val="24"/>
              </w:rPr>
              <w:t>评分因素权重分值</w:t>
            </w:r>
          </w:p>
        </w:tc>
        <w:tc>
          <w:tcPr>
            <w:tcW w:w="1353" w:type="dxa"/>
            <w:vAlign w:val="center"/>
          </w:tcPr>
          <w:p w14:paraId="50085D41">
            <w:pPr>
              <w:ind w:left="113" w:right="113" w:firstLine="211"/>
              <w:jc w:val="center"/>
              <w:rPr>
                <w:rFonts w:hint="eastAsia"/>
                <w:color w:val="000000"/>
                <w:sz w:val="24"/>
              </w:rPr>
            </w:pPr>
            <w:r>
              <w:rPr>
                <w:rFonts w:hint="eastAsia" w:cs="宋体"/>
                <w:b/>
                <w:color w:val="000000"/>
                <w:sz w:val="24"/>
              </w:rPr>
              <w:t>各评分因素分项</w:t>
            </w:r>
          </w:p>
        </w:tc>
        <w:tc>
          <w:tcPr>
            <w:tcW w:w="675" w:type="dxa"/>
            <w:vAlign w:val="center"/>
          </w:tcPr>
          <w:p w14:paraId="6BEE7774">
            <w:pPr>
              <w:ind w:right="113"/>
              <w:jc w:val="center"/>
              <w:rPr>
                <w:rFonts w:hint="eastAsia"/>
                <w:color w:val="000000"/>
                <w:sz w:val="24"/>
              </w:rPr>
            </w:pPr>
            <w:r>
              <w:rPr>
                <w:rFonts w:hint="eastAsia" w:cs="宋体"/>
                <w:b/>
                <w:color w:val="000000"/>
                <w:sz w:val="24"/>
              </w:rPr>
              <w:t>分值</w:t>
            </w:r>
          </w:p>
        </w:tc>
        <w:tc>
          <w:tcPr>
            <w:tcW w:w="4788" w:type="dxa"/>
            <w:vAlign w:val="center"/>
          </w:tcPr>
          <w:p w14:paraId="36698C1C">
            <w:pPr>
              <w:jc w:val="center"/>
              <w:rPr>
                <w:rFonts w:hint="eastAsia"/>
                <w:color w:val="000000"/>
                <w:sz w:val="24"/>
              </w:rPr>
            </w:pPr>
            <w:r>
              <w:rPr>
                <w:rFonts w:hint="eastAsia" w:cs="宋体"/>
                <w:b/>
                <w:color w:val="000000"/>
                <w:sz w:val="24"/>
              </w:rPr>
              <w:t>评分标准</w:t>
            </w:r>
          </w:p>
        </w:tc>
      </w:tr>
      <w:tr w14:paraId="32C7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restart"/>
            <w:vAlign w:val="center"/>
          </w:tcPr>
          <w:p w14:paraId="1152CBFD">
            <w:pPr>
              <w:ind w:right="113"/>
              <w:jc w:val="center"/>
              <w:rPr>
                <w:rFonts w:hint="eastAsia"/>
                <w:color w:val="000000"/>
                <w:sz w:val="24"/>
              </w:rPr>
            </w:pPr>
            <w:r>
              <w:rPr>
                <w:rFonts w:hint="eastAsia" w:cs="宋体"/>
                <w:color w:val="000000"/>
                <w:sz w:val="24"/>
              </w:rPr>
              <w:t>2.2.2</w:t>
            </w:r>
          </w:p>
          <w:p w14:paraId="30686993">
            <w:pPr>
              <w:ind w:right="113"/>
              <w:jc w:val="center"/>
              <w:rPr>
                <w:rFonts w:hint="eastAsia"/>
                <w:color w:val="000000"/>
                <w:sz w:val="24"/>
              </w:rPr>
            </w:pPr>
            <w:r>
              <w:rPr>
                <w:rFonts w:hint="eastAsia" w:cs="宋体"/>
                <w:color w:val="000000"/>
                <w:sz w:val="24"/>
              </w:rPr>
              <w:t>（1）</w:t>
            </w:r>
          </w:p>
        </w:tc>
        <w:tc>
          <w:tcPr>
            <w:tcW w:w="958" w:type="dxa"/>
            <w:vMerge w:val="restart"/>
            <w:vAlign w:val="center"/>
          </w:tcPr>
          <w:p w14:paraId="30A6FCE0">
            <w:pPr>
              <w:ind w:right="113"/>
              <w:jc w:val="center"/>
              <w:rPr>
                <w:rFonts w:hint="eastAsia"/>
                <w:color w:val="000000"/>
                <w:sz w:val="24"/>
              </w:rPr>
            </w:pPr>
            <w:r>
              <w:rPr>
                <w:rFonts w:hint="eastAsia" w:cs="宋体"/>
                <w:color w:val="000000"/>
                <w:sz w:val="24"/>
              </w:rPr>
              <w:t>施工组织设计（暗标）</w:t>
            </w:r>
          </w:p>
        </w:tc>
        <w:tc>
          <w:tcPr>
            <w:tcW w:w="927" w:type="dxa"/>
            <w:vMerge w:val="restart"/>
            <w:vAlign w:val="center"/>
          </w:tcPr>
          <w:p w14:paraId="113FFA5D">
            <w:pPr>
              <w:ind w:right="113"/>
              <w:jc w:val="center"/>
              <w:rPr>
                <w:rFonts w:hint="eastAsia" w:cs="宋体"/>
                <w:color w:val="000000"/>
                <w:sz w:val="24"/>
              </w:rPr>
            </w:pPr>
            <w:r>
              <w:rPr>
                <w:rFonts w:hint="eastAsia" w:cs="宋体"/>
                <w:color w:val="000000"/>
                <w:sz w:val="24"/>
              </w:rPr>
              <w:t>40分</w:t>
            </w:r>
          </w:p>
        </w:tc>
        <w:tc>
          <w:tcPr>
            <w:tcW w:w="1353" w:type="dxa"/>
            <w:vMerge w:val="restart"/>
            <w:vAlign w:val="center"/>
          </w:tcPr>
          <w:p w14:paraId="5E748538">
            <w:pPr>
              <w:autoSpaceDE w:val="0"/>
              <w:jc w:val="center"/>
              <w:rPr>
                <w:rFonts w:hint="eastAsia"/>
                <w:color w:val="000000"/>
                <w:sz w:val="24"/>
              </w:rPr>
            </w:pPr>
            <w:r>
              <w:rPr>
                <w:rFonts w:hint="eastAsia"/>
                <w:color w:val="000000"/>
                <w:sz w:val="24"/>
              </w:rPr>
              <w:t>总体施工组织布置及规划</w:t>
            </w:r>
          </w:p>
        </w:tc>
        <w:tc>
          <w:tcPr>
            <w:tcW w:w="675" w:type="dxa"/>
            <w:vMerge w:val="restart"/>
            <w:vAlign w:val="center"/>
          </w:tcPr>
          <w:p w14:paraId="3727A177">
            <w:pPr>
              <w:ind w:right="113"/>
              <w:jc w:val="center"/>
              <w:rPr>
                <w:rFonts w:hint="eastAsia"/>
                <w:color w:val="000000"/>
                <w:sz w:val="24"/>
              </w:rPr>
            </w:pPr>
            <w:r>
              <w:rPr>
                <w:rFonts w:hint="eastAsia"/>
                <w:color w:val="000000"/>
                <w:sz w:val="24"/>
              </w:rPr>
              <w:t>4分</w:t>
            </w:r>
          </w:p>
        </w:tc>
        <w:tc>
          <w:tcPr>
            <w:tcW w:w="4788" w:type="dxa"/>
            <w:vAlign w:val="center"/>
          </w:tcPr>
          <w:p w14:paraId="066A3032">
            <w:pPr>
              <w:spacing w:line="320" w:lineRule="exact"/>
              <w:ind w:firstLine="105"/>
              <w:rPr>
                <w:rFonts w:hint="eastAsia"/>
                <w:color w:val="000000"/>
                <w:sz w:val="24"/>
              </w:rPr>
            </w:pPr>
            <w:r>
              <w:rPr>
                <w:rFonts w:hint="eastAsia"/>
                <w:color w:val="000000"/>
                <w:sz w:val="24"/>
              </w:rPr>
              <w:t>内容齐全，规划合理，得3.2－4.0分</w:t>
            </w:r>
          </w:p>
        </w:tc>
      </w:tr>
      <w:tr w14:paraId="4837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2E4930FF">
            <w:pPr>
              <w:snapToGrid w:val="0"/>
              <w:ind w:right="113"/>
              <w:jc w:val="center"/>
              <w:rPr>
                <w:rFonts w:hint="eastAsia" w:cs="宋体"/>
                <w:color w:val="000000"/>
                <w:spacing w:val="12"/>
                <w:sz w:val="24"/>
              </w:rPr>
            </w:pPr>
          </w:p>
        </w:tc>
        <w:tc>
          <w:tcPr>
            <w:tcW w:w="958" w:type="dxa"/>
            <w:vMerge w:val="continue"/>
            <w:vAlign w:val="center"/>
          </w:tcPr>
          <w:p w14:paraId="48E9631B">
            <w:pPr>
              <w:snapToGrid w:val="0"/>
              <w:ind w:left="28"/>
              <w:jc w:val="center"/>
              <w:rPr>
                <w:rFonts w:hint="eastAsia" w:cs="宋体"/>
                <w:color w:val="000000"/>
                <w:spacing w:val="12"/>
                <w:sz w:val="24"/>
              </w:rPr>
            </w:pPr>
          </w:p>
        </w:tc>
        <w:tc>
          <w:tcPr>
            <w:tcW w:w="927" w:type="dxa"/>
            <w:vMerge w:val="continue"/>
            <w:vAlign w:val="center"/>
          </w:tcPr>
          <w:p w14:paraId="3C8BCCB0">
            <w:pPr>
              <w:snapToGrid w:val="0"/>
              <w:ind w:right="113"/>
              <w:jc w:val="center"/>
              <w:rPr>
                <w:rFonts w:hint="eastAsia" w:cs="宋体"/>
                <w:color w:val="000000"/>
                <w:spacing w:val="12"/>
                <w:sz w:val="24"/>
              </w:rPr>
            </w:pPr>
          </w:p>
        </w:tc>
        <w:tc>
          <w:tcPr>
            <w:tcW w:w="1353" w:type="dxa"/>
            <w:vMerge w:val="continue"/>
            <w:vAlign w:val="center"/>
          </w:tcPr>
          <w:p w14:paraId="5A385986">
            <w:pPr>
              <w:snapToGrid w:val="0"/>
              <w:ind w:right="113"/>
              <w:jc w:val="center"/>
              <w:rPr>
                <w:rFonts w:hint="eastAsia" w:cs="宋体"/>
                <w:color w:val="000000"/>
                <w:kern w:val="0"/>
                <w:sz w:val="24"/>
                <w:lang w:val="zh-CN"/>
              </w:rPr>
            </w:pPr>
          </w:p>
        </w:tc>
        <w:tc>
          <w:tcPr>
            <w:tcW w:w="675" w:type="dxa"/>
            <w:vMerge w:val="continue"/>
            <w:vAlign w:val="center"/>
          </w:tcPr>
          <w:p w14:paraId="3ECF3E80">
            <w:pPr>
              <w:snapToGrid w:val="0"/>
              <w:ind w:right="113"/>
              <w:jc w:val="center"/>
              <w:rPr>
                <w:rFonts w:hint="eastAsia" w:cs="宋体"/>
                <w:color w:val="000000"/>
                <w:kern w:val="0"/>
                <w:sz w:val="24"/>
                <w:lang w:val="zh-CN"/>
              </w:rPr>
            </w:pPr>
          </w:p>
        </w:tc>
        <w:tc>
          <w:tcPr>
            <w:tcW w:w="4788" w:type="dxa"/>
            <w:vAlign w:val="center"/>
          </w:tcPr>
          <w:p w14:paraId="2F9D7FA8">
            <w:pPr>
              <w:spacing w:line="320" w:lineRule="exact"/>
              <w:ind w:firstLine="105"/>
              <w:rPr>
                <w:rFonts w:hint="eastAsia"/>
                <w:color w:val="000000"/>
                <w:sz w:val="24"/>
              </w:rPr>
            </w:pPr>
            <w:r>
              <w:rPr>
                <w:rFonts w:hint="eastAsia"/>
                <w:color w:val="000000"/>
                <w:sz w:val="24"/>
              </w:rPr>
              <w:t>内容较具体、齐全，规划较合理，得2.4-3.2分</w:t>
            </w:r>
          </w:p>
        </w:tc>
      </w:tr>
      <w:tr w14:paraId="1124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029F779E">
            <w:pPr>
              <w:snapToGrid w:val="0"/>
              <w:ind w:right="113"/>
              <w:jc w:val="center"/>
              <w:rPr>
                <w:rFonts w:hint="eastAsia" w:cs="宋体"/>
                <w:bCs/>
                <w:color w:val="000000"/>
                <w:sz w:val="24"/>
              </w:rPr>
            </w:pPr>
          </w:p>
        </w:tc>
        <w:tc>
          <w:tcPr>
            <w:tcW w:w="958" w:type="dxa"/>
            <w:vMerge w:val="continue"/>
            <w:vAlign w:val="center"/>
          </w:tcPr>
          <w:p w14:paraId="3ABC938F">
            <w:pPr>
              <w:snapToGrid w:val="0"/>
              <w:ind w:left="28"/>
              <w:jc w:val="center"/>
              <w:rPr>
                <w:rFonts w:hint="eastAsia" w:cs="宋体"/>
                <w:bCs/>
                <w:color w:val="000000"/>
                <w:sz w:val="24"/>
              </w:rPr>
            </w:pPr>
          </w:p>
        </w:tc>
        <w:tc>
          <w:tcPr>
            <w:tcW w:w="927" w:type="dxa"/>
            <w:vMerge w:val="continue"/>
            <w:vAlign w:val="center"/>
          </w:tcPr>
          <w:p w14:paraId="6F75A067">
            <w:pPr>
              <w:snapToGrid w:val="0"/>
              <w:ind w:right="113"/>
              <w:jc w:val="center"/>
              <w:rPr>
                <w:rFonts w:hint="eastAsia" w:cs="宋体"/>
                <w:bCs/>
                <w:color w:val="000000"/>
                <w:sz w:val="24"/>
              </w:rPr>
            </w:pPr>
          </w:p>
        </w:tc>
        <w:tc>
          <w:tcPr>
            <w:tcW w:w="1353" w:type="dxa"/>
            <w:vMerge w:val="continue"/>
            <w:vAlign w:val="center"/>
          </w:tcPr>
          <w:p w14:paraId="0E977CE4">
            <w:pPr>
              <w:snapToGrid w:val="0"/>
              <w:ind w:right="113"/>
              <w:jc w:val="center"/>
              <w:rPr>
                <w:rFonts w:hint="eastAsia" w:cs="宋体"/>
                <w:color w:val="000000"/>
                <w:kern w:val="0"/>
                <w:sz w:val="24"/>
                <w:lang w:val="zh-CN"/>
              </w:rPr>
            </w:pPr>
          </w:p>
        </w:tc>
        <w:tc>
          <w:tcPr>
            <w:tcW w:w="675" w:type="dxa"/>
            <w:vMerge w:val="continue"/>
            <w:vAlign w:val="center"/>
          </w:tcPr>
          <w:p w14:paraId="649EF8D7">
            <w:pPr>
              <w:snapToGrid w:val="0"/>
              <w:ind w:right="113"/>
              <w:jc w:val="center"/>
              <w:rPr>
                <w:rFonts w:hint="eastAsia" w:cs="宋体"/>
                <w:color w:val="000000"/>
                <w:kern w:val="0"/>
                <w:sz w:val="24"/>
                <w:lang w:val="zh-CN"/>
              </w:rPr>
            </w:pPr>
          </w:p>
        </w:tc>
        <w:tc>
          <w:tcPr>
            <w:tcW w:w="4788" w:type="dxa"/>
            <w:vAlign w:val="center"/>
          </w:tcPr>
          <w:p w14:paraId="41BD2AEB">
            <w:pPr>
              <w:spacing w:line="320" w:lineRule="exact"/>
              <w:ind w:firstLine="105"/>
              <w:rPr>
                <w:rFonts w:hint="eastAsia"/>
                <w:color w:val="000000"/>
                <w:sz w:val="24"/>
              </w:rPr>
            </w:pPr>
            <w:r>
              <w:rPr>
                <w:rFonts w:hint="eastAsia"/>
                <w:color w:val="000000"/>
                <w:sz w:val="24"/>
              </w:rPr>
              <w:t>内容基本具体、齐全，规划基本合理，得2.4分</w:t>
            </w:r>
          </w:p>
        </w:tc>
      </w:tr>
      <w:tr w14:paraId="0140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A738676">
            <w:pPr>
              <w:snapToGrid w:val="0"/>
              <w:ind w:right="113"/>
              <w:jc w:val="center"/>
              <w:rPr>
                <w:rFonts w:hint="eastAsia" w:cs="宋体"/>
                <w:color w:val="000000"/>
                <w:sz w:val="24"/>
              </w:rPr>
            </w:pPr>
          </w:p>
        </w:tc>
        <w:tc>
          <w:tcPr>
            <w:tcW w:w="958" w:type="dxa"/>
            <w:vMerge w:val="continue"/>
            <w:vAlign w:val="center"/>
          </w:tcPr>
          <w:p w14:paraId="7CFA2FF6">
            <w:pPr>
              <w:snapToGrid w:val="0"/>
              <w:ind w:left="28"/>
              <w:jc w:val="center"/>
              <w:rPr>
                <w:rFonts w:hint="eastAsia" w:cs="宋体"/>
                <w:color w:val="000000"/>
                <w:sz w:val="24"/>
              </w:rPr>
            </w:pPr>
          </w:p>
        </w:tc>
        <w:tc>
          <w:tcPr>
            <w:tcW w:w="927" w:type="dxa"/>
            <w:vMerge w:val="continue"/>
            <w:vAlign w:val="center"/>
          </w:tcPr>
          <w:p w14:paraId="250EDB11">
            <w:pPr>
              <w:snapToGrid w:val="0"/>
              <w:ind w:right="113"/>
              <w:jc w:val="center"/>
              <w:rPr>
                <w:rFonts w:hint="eastAsia" w:cs="宋体"/>
                <w:color w:val="000000"/>
                <w:sz w:val="24"/>
              </w:rPr>
            </w:pPr>
          </w:p>
        </w:tc>
        <w:tc>
          <w:tcPr>
            <w:tcW w:w="1353" w:type="dxa"/>
            <w:vMerge w:val="restart"/>
            <w:vAlign w:val="center"/>
          </w:tcPr>
          <w:p w14:paraId="45F6E7D4">
            <w:pPr>
              <w:ind w:right="113"/>
              <w:jc w:val="center"/>
              <w:rPr>
                <w:rFonts w:hint="eastAsia"/>
                <w:color w:val="000000"/>
                <w:sz w:val="24"/>
              </w:rPr>
            </w:pPr>
            <w:r>
              <w:rPr>
                <w:rFonts w:hint="eastAsia"/>
                <w:color w:val="000000"/>
                <w:sz w:val="24"/>
              </w:rPr>
              <w:t>主要工程项目的施工方案、方法与技术措施</w:t>
            </w:r>
          </w:p>
        </w:tc>
        <w:tc>
          <w:tcPr>
            <w:tcW w:w="675" w:type="dxa"/>
            <w:vMerge w:val="restart"/>
            <w:vAlign w:val="center"/>
          </w:tcPr>
          <w:p w14:paraId="2C2882E3">
            <w:pPr>
              <w:ind w:right="113"/>
              <w:jc w:val="center"/>
              <w:rPr>
                <w:rFonts w:hint="eastAsia"/>
                <w:color w:val="000000"/>
                <w:sz w:val="24"/>
              </w:rPr>
            </w:pPr>
            <w:r>
              <w:rPr>
                <w:color w:val="000000"/>
                <w:sz w:val="24"/>
              </w:rPr>
              <w:t>6</w:t>
            </w:r>
            <w:r>
              <w:rPr>
                <w:rFonts w:hint="eastAsia"/>
                <w:color w:val="000000"/>
                <w:sz w:val="24"/>
              </w:rPr>
              <w:t>分</w:t>
            </w:r>
          </w:p>
        </w:tc>
        <w:tc>
          <w:tcPr>
            <w:tcW w:w="4788" w:type="dxa"/>
            <w:vAlign w:val="center"/>
          </w:tcPr>
          <w:p w14:paraId="29321442">
            <w:pPr>
              <w:spacing w:line="320" w:lineRule="exact"/>
              <w:ind w:firstLine="105"/>
              <w:rPr>
                <w:rFonts w:hint="eastAsia"/>
                <w:color w:val="000000"/>
                <w:sz w:val="24"/>
              </w:rPr>
            </w:pPr>
            <w:r>
              <w:rPr>
                <w:rFonts w:hint="eastAsia"/>
                <w:color w:val="000000"/>
                <w:sz w:val="24"/>
              </w:rPr>
              <w:t>方案具体齐全可操作性强配备合理，得</w:t>
            </w:r>
            <w:r>
              <w:rPr>
                <w:color w:val="000000"/>
                <w:sz w:val="24"/>
              </w:rPr>
              <w:t>4.8</w:t>
            </w:r>
            <w:r>
              <w:rPr>
                <w:rFonts w:hint="eastAsia"/>
                <w:color w:val="000000"/>
                <w:sz w:val="24"/>
              </w:rPr>
              <w:t>－</w:t>
            </w:r>
            <w:r>
              <w:rPr>
                <w:color w:val="000000"/>
                <w:sz w:val="24"/>
              </w:rPr>
              <w:t>6</w:t>
            </w:r>
            <w:r>
              <w:rPr>
                <w:rFonts w:hint="eastAsia"/>
                <w:color w:val="000000"/>
                <w:sz w:val="24"/>
              </w:rPr>
              <w:t>.0分</w:t>
            </w:r>
          </w:p>
        </w:tc>
      </w:tr>
      <w:tr w14:paraId="17AA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0F72E206">
            <w:pPr>
              <w:snapToGrid w:val="0"/>
              <w:ind w:right="113"/>
              <w:jc w:val="center"/>
              <w:rPr>
                <w:rFonts w:hint="eastAsia" w:cs="宋体"/>
                <w:color w:val="000000"/>
                <w:spacing w:val="12"/>
                <w:sz w:val="24"/>
              </w:rPr>
            </w:pPr>
          </w:p>
        </w:tc>
        <w:tc>
          <w:tcPr>
            <w:tcW w:w="958" w:type="dxa"/>
            <w:vMerge w:val="continue"/>
            <w:vAlign w:val="center"/>
          </w:tcPr>
          <w:p w14:paraId="4555BA2D">
            <w:pPr>
              <w:snapToGrid w:val="0"/>
              <w:ind w:left="28"/>
              <w:jc w:val="center"/>
              <w:rPr>
                <w:rFonts w:hint="eastAsia" w:cs="宋体"/>
                <w:color w:val="000000"/>
                <w:spacing w:val="12"/>
                <w:sz w:val="24"/>
              </w:rPr>
            </w:pPr>
          </w:p>
        </w:tc>
        <w:tc>
          <w:tcPr>
            <w:tcW w:w="927" w:type="dxa"/>
            <w:vMerge w:val="continue"/>
            <w:vAlign w:val="center"/>
          </w:tcPr>
          <w:p w14:paraId="04D425F5">
            <w:pPr>
              <w:snapToGrid w:val="0"/>
              <w:ind w:right="113"/>
              <w:jc w:val="center"/>
              <w:rPr>
                <w:rFonts w:hint="eastAsia" w:cs="宋体"/>
                <w:color w:val="000000"/>
                <w:spacing w:val="12"/>
                <w:sz w:val="24"/>
              </w:rPr>
            </w:pPr>
          </w:p>
        </w:tc>
        <w:tc>
          <w:tcPr>
            <w:tcW w:w="1353" w:type="dxa"/>
            <w:vMerge w:val="continue"/>
            <w:vAlign w:val="center"/>
          </w:tcPr>
          <w:p w14:paraId="59C0DC74">
            <w:pPr>
              <w:snapToGrid w:val="0"/>
              <w:ind w:right="113"/>
              <w:jc w:val="center"/>
              <w:rPr>
                <w:rFonts w:hint="eastAsia" w:cs="宋体"/>
                <w:color w:val="000000"/>
                <w:kern w:val="0"/>
                <w:sz w:val="24"/>
              </w:rPr>
            </w:pPr>
          </w:p>
        </w:tc>
        <w:tc>
          <w:tcPr>
            <w:tcW w:w="675" w:type="dxa"/>
            <w:vMerge w:val="continue"/>
            <w:vAlign w:val="center"/>
          </w:tcPr>
          <w:p w14:paraId="56D62DAC">
            <w:pPr>
              <w:ind w:right="113"/>
              <w:jc w:val="center"/>
              <w:rPr>
                <w:rFonts w:hint="eastAsia"/>
                <w:color w:val="000000"/>
                <w:sz w:val="24"/>
              </w:rPr>
            </w:pPr>
          </w:p>
        </w:tc>
        <w:tc>
          <w:tcPr>
            <w:tcW w:w="4788" w:type="dxa"/>
            <w:vAlign w:val="center"/>
          </w:tcPr>
          <w:p w14:paraId="71A31006">
            <w:pPr>
              <w:spacing w:line="320" w:lineRule="exact"/>
              <w:ind w:firstLine="105"/>
              <w:rPr>
                <w:rFonts w:hint="eastAsia"/>
                <w:color w:val="000000"/>
                <w:sz w:val="24"/>
              </w:rPr>
            </w:pPr>
            <w:r>
              <w:rPr>
                <w:rFonts w:hint="eastAsia"/>
                <w:color w:val="000000"/>
                <w:sz w:val="24"/>
              </w:rPr>
              <w:t>方案较具体、较齐全、较合理，得</w:t>
            </w:r>
            <w:r>
              <w:rPr>
                <w:color w:val="000000"/>
                <w:sz w:val="24"/>
              </w:rPr>
              <w:t>3.6</w:t>
            </w:r>
            <w:r>
              <w:rPr>
                <w:rFonts w:hint="eastAsia"/>
                <w:color w:val="000000"/>
                <w:sz w:val="24"/>
              </w:rPr>
              <w:t>-</w:t>
            </w:r>
            <w:r>
              <w:rPr>
                <w:color w:val="000000"/>
                <w:sz w:val="24"/>
              </w:rPr>
              <w:t>4.8</w:t>
            </w:r>
            <w:r>
              <w:rPr>
                <w:rFonts w:hint="eastAsia"/>
                <w:color w:val="000000"/>
                <w:sz w:val="24"/>
              </w:rPr>
              <w:t>分</w:t>
            </w:r>
          </w:p>
        </w:tc>
      </w:tr>
      <w:tr w14:paraId="73CE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0A20EAFE">
            <w:pPr>
              <w:snapToGrid w:val="0"/>
              <w:ind w:right="113"/>
              <w:jc w:val="center"/>
              <w:rPr>
                <w:rFonts w:hint="eastAsia" w:cs="宋体"/>
                <w:bCs/>
                <w:color w:val="000000"/>
                <w:sz w:val="24"/>
              </w:rPr>
            </w:pPr>
          </w:p>
        </w:tc>
        <w:tc>
          <w:tcPr>
            <w:tcW w:w="958" w:type="dxa"/>
            <w:vMerge w:val="continue"/>
            <w:vAlign w:val="center"/>
          </w:tcPr>
          <w:p w14:paraId="2BE3BF88">
            <w:pPr>
              <w:snapToGrid w:val="0"/>
              <w:ind w:left="28"/>
              <w:jc w:val="center"/>
              <w:rPr>
                <w:rFonts w:hint="eastAsia" w:cs="宋体"/>
                <w:bCs/>
                <w:color w:val="000000"/>
                <w:sz w:val="24"/>
              </w:rPr>
            </w:pPr>
          </w:p>
        </w:tc>
        <w:tc>
          <w:tcPr>
            <w:tcW w:w="927" w:type="dxa"/>
            <w:vMerge w:val="continue"/>
            <w:vAlign w:val="center"/>
          </w:tcPr>
          <w:p w14:paraId="5B379328">
            <w:pPr>
              <w:snapToGrid w:val="0"/>
              <w:ind w:right="113"/>
              <w:jc w:val="center"/>
              <w:rPr>
                <w:rFonts w:hint="eastAsia" w:cs="宋体"/>
                <w:bCs/>
                <w:color w:val="000000"/>
                <w:sz w:val="24"/>
              </w:rPr>
            </w:pPr>
          </w:p>
        </w:tc>
        <w:tc>
          <w:tcPr>
            <w:tcW w:w="1353" w:type="dxa"/>
            <w:vMerge w:val="continue"/>
            <w:vAlign w:val="center"/>
          </w:tcPr>
          <w:p w14:paraId="7E153BB2">
            <w:pPr>
              <w:snapToGrid w:val="0"/>
              <w:ind w:right="113"/>
              <w:jc w:val="center"/>
              <w:rPr>
                <w:rFonts w:hint="eastAsia" w:cs="宋体"/>
                <w:color w:val="000000"/>
                <w:kern w:val="0"/>
                <w:sz w:val="24"/>
                <w:lang w:val="zh-CN"/>
              </w:rPr>
            </w:pPr>
          </w:p>
        </w:tc>
        <w:tc>
          <w:tcPr>
            <w:tcW w:w="675" w:type="dxa"/>
            <w:vMerge w:val="continue"/>
            <w:vAlign w:val="center"/>
          </w:tcPr>
          <w:p w14:paraId="0FA01786">
            <w:pPr>
              <w:snapToGrid w:val="0"/>
              <w:ind w:right="113"/>
              <w:jc w:val="center"/>
              <w:rPr>
                <w:rFonts w:hint="eastAsia" w:cs="宋体"/>
                <w:color w:val="000000"/>
                <w:kern w:val="0"/>
                <w:sz w:val="24"/>
                <w:lang w:val="zh-CN"/>
              </w:rPr>
            </w:pPr>
          </w:p>
        </w:tc>
        <w:tc>
          <w:tcPr>
            <w:tcW w:w="4788" w:type="dxa"/>
            <w:vAlign w:val="center"/>
          </w:tcPr>
          <w:p w14:paraId="0BB32CE6">
            <w:pPr>
              <w:spacing w:line="320" w:lineRule="exact"/>
              <w:ind w:firstLine="105"/>
              <w:rPr>
                <w:rFonts w:hint="eastAsia"/>
                <w:color w:val="000000"/>
                <w:sz w:val="24"/>
              </w:rPr>
            </w:pPr>
            <w:r>
              <w:rPr>
                <w:rFonts w:hint="eastAsia"/>
                <w:color w:val="000000"/>
                <w:sz w:val="24"/>
              </w:rPr>
              <w:t>方案基本具体、基本齐全、基本合理，得</w:t>
            </w:r>
            <w:r>
              <w:rPr>
                <w:color w:val="000000"/>
                <w:sz w:val="24"/>
              </w:rPr>
              <w:t>3.6</w:t>
            </w:r>
            <w:r>
              <w:rPr>
                <w:rFonts w:hint="eastAsia"/>
                <w:color w:val="000000"/>
                <w:sz w:val="24"/>
              </w:rPr>
              <w:t>分</w:t>
            </w:r>
          </w:p>
        </w:tc>
      </w:tr>
      <w:tr w14:paraId="27D8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49097511">
            <w:pPr>
              <w:snapToGrid w:val="0"/>
              <w:ind w:right="113"/>
              <w:jc w:val="center"/>
              <w:rPr>
                <w:rFonts w:hint="eastAsia" w:cs="宋体"/>
                <w:color w:val="000000"/>
                <w:sz w:val="24"/>
              </w:rPr>
            </w:pPr>
          </w:p>
        </w:tc>
        <w:tc>
          <w:tcPr>
            <w:tcW w:w="958" w:type="dxa"/>
            <w:vMerge w:val="continue"/>
            <w:vAlign w:val="center"/>
          </w:tcPr>
          <w:p w14:paraId="0ADCE5D2">
            <w:pPr>
              <w:snapToGrid w:val="0"/>
              <w:ind w:left="28"/>
              <w:jc w:val="center"/>
              <w:rPr>
                <w:rFonts w:hint="eastAsia" w:cs="宋体"/>
                <w:color w:val="000000"/>
                <w:sz w:val="24"/>
              </w:rPr>
            </w:pPr>
          </w:p>
        </w:tc>
        <w:tc>
          <w:tcPr>
            <w:tcW w:w="927" w:type="dxa"/>
            <w:vMerge w:val="continue"/>
            <w:vAlign w:val="center"/>
          </w:tcPr>
          <w:p w14:paraId="57695831">
            <w:pPr>
              <w:snapToGrid w:val="0"/>
              <w:ind w:right="113"/>
              <w:jc w:val="center"/>
              <w:rPr>
                <w:rFonts w:hint="eastAsia" w:cs="宋体"/>
                <w:color w:val="000000"/>
                <w:sz w:val="24"/>
              </w:rPr>
            </w:pPr>
          </w:p>
        </w:tc>
        <w:tc>
          <w:tcPr>
            <w:tcW w:w="1353" w:type="dxa"/>
            <w:vMerge w:val="restart"/>
            <w:vAlign w:val="center"/>
          </w:tcPr>
          <w:p w14:paraId="7F6944C3">
            <w:pPr>
              <w:ind w:right="113"/>
              <w:jc w:val="center"/>
              <w:rPr>
                <w:rFonts w:hint="eastAsia"/>
                <w:color w:val="000000"/>
                <w:sz w:val="24"/>
              </w:rPr>
            </w:pPr>
            <w:r>
              <w:rPr>
                <w:rFonts w:hint="eastAsia"/>
                <w:color w:val="000000"/>
                <w:sz w:val="24"/>
              </w:rPr>
              <w:t>工期保证体系及保证措施</w:t>
            </w:r>
          </w:p>
        </w:tc>
        <w:tc>
          <w:tcPr>
            <w:tcW w:w="675" w:type="dxa"/>
            <w:vMerge w:val="restart"/>
            <w:vAlign w:val="center"/>
          </w:tcPr>
          <w:p w14:paraId="047FDB70">
            <w:pPr>
              <w:ind w:right="113"/>
              <w:jc w:val="center"/>
              <w:rPr>
                <w:rFonts w:hint="eastAsia"/>
                <w:color w:val="000000"/>
                <w:sz w:val="24"/>
              </w:rPr>
            </w:pPr>
            <w:r>
              <w:rPr>
                <w:rFonts w:hint="eastAsia"/>
                <w:color w:val="000000"/>
                <w:sz w:val="24"/>
              </w:rPr>
              <w:t>5分</w:t>
            </w:r>
          </w:p>
        </w:tc>
        <w:tc>
          <w:tcPr>
            <w:tcW w:w="4788" w:type="dxa"/>
            <w:vAlign w:val="center"/>
          </w:tcPr>
          <w:p w14:paraId="38120F0F">
            <w:pPr>
              <w:spacing w:line="320" w:lineRule="exact"/>
              <w:ind w:firstLine="105"/>
              <w:rPr>
                <w:rFonts w:hint="eastAsia"/>
                <w:color w:val="000000"/>
                <w:sz w:val="24"/>
              </w:rPr>
            </w:pPr>
            <w:r>
              <w:rPr>
                <w:rFonts w:hint="eastAsia"/>
                <w:color w:val="000000"/>
                <w:sz w:val="24"/>
              </w:rPr>
              <w:t>措施具体、齐全、合理，得4.0－5.0分</w:t>
            </w:r>
          </w:p>
        </w:tc>
      </w:tr>
      <w:tr w14:paraId="31D7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AE0D52A">
            <w:pPr>
              <w:snapToGrid w:val="0"/>
              <w:ind w:right="113"/>
              <w:jc w:val="center"/>
              <w:rPr>
                <w:rFonts w:hint="eastAsia" w:cs="宋体"/>
                <w:color w:val="000000"/>
                <w:spacing w:val="12"/>
                <w:sz w:val="24"/>
              </w:rPr>
            </w:pPr>
          </w:p>
        </w:tc>
        <w:tc>
          <w:tcPr>
            <w:tcW w:w="958" w:type="dxa"/>
            <w:vMerge w:val="continue"/>
            <w:vAlign w:val="center"/>
          </w:tcPr>
          <w:p w14:paraId="5E5E8DF6">
            <w:pPr>
              <w:snapToGrid w:val="0"/>
              <w:ind w:left="28"/>
              <w:jc w:val="center"/>
              <w:rPr>
                <w:rFonts w:hint="eastAsia" w:cs="宋体"/>
                <w:color w:val="000000"/>
                <w:spacing w:val="12"/>
                <w:sz w:val="24"/>
              </w:rPr>
            </w:pPr>
          </w:p>
        </w:tc>
        <w:tc>
          <w:tcPr>
            <w:tcW w:w="927" w:type="dxa"/>
            <w:vMerge w:val="continue"/>
            <w:vAlign w:val="center"/>
          </w:tcPr>
          <w:p w14:paraId="6C79112C">
            <w:pPr>
              <w:snapToGrid w:val="0"/>
              <w:ind w:right="113"/>
              <w:jc w:val="center"/>
              <w:rPr>
                <w:rFonts w:hint="eastAsia" w:cs="宋体"/>
                <w:color w:val="000000"/>
                <w:spacing w:val="12"/>
                <w:sz w:val="24"/>
              </w:rPr>
            </w:pPr>
          </w:p>
        </w:tc>
        <w:tc>
          <w:tcPr>
            <w:tcW w:w="1353" w:type="dxa"/>
            <w:vMerge w:val="continue"/>
            <w:vAlign w:val="center"/>
          </w:tcPr>
          <w:p w14:paraId="7B94BA05">
            <w:pPr>
              <w:snapToGrid w:val="0"/>
              <w:ind w:right="113"/>
              <w:jc w:val="center"/>
              <w:rPr>
                <w:rFonts w:hint="eastAsia" w:cs="宋体"/>
                <w:color w:val="000000"/>
                <w:kern w:val="0"/>
                <w:sz w:val="24"/>
              </w:rPr>
            </w:pPr>
          </w:p>
        </w:tc>
        <w:tc>
          <w:tcPr>
            <w:tcW w:w="675" w:type="dxa"/>
            <w:vMerge w:val="continue"/>
            <w:vAlign w:val="center"/>
          </w:tcPr>
          <w:p w14:paraId="13B14788">
            <w:pPr>
              <w:snapToGrid w:val="0"/>
              <w:ind w:right="113"/>
              <w:jc w:val="center"/>
              <w:rPr>
                <w:rFonts w:hint="eastAsia" w:cs="宋体"/>
                <w:color w:val="000000"/>
                <w:kern w:val="0"/>
                <w:sz w:val="24"/>
              </w:rPr>
            </w:pPr>
          </w:p>
        </w:tc>
        <w:tc>
          <w:tcPr>
            <w:tcW w:w="4788" w:type="dxa"/>
            <w:vAlign w:val="center"/>
          </w:tcPr>
          <w:p w14:paraId="1311EDAC">
            <w:pPr>
              <w:spacing w:line="320" w:lineRule="exact"/>
              <w:ind w:firstLine="105"/>
              <w:rPr>
                <w:rFonts w:hint="eastAsia"/>
                <w:color w:val="000000"/>
                <w:sz w:val="24"/>
              </w:rPr>
            </w:pPr>
            <w:r>
              <w:rPr>
                <w:rFonts w:hint="eastAsia"/>
                <w:color w:val="000000"/>
                <w:sz w:val="24"/>
              </w:rPr>
              <w:t>措施较具体、较齐全、较合理，得3.0-4.0分</w:t>
            </w:r>
          </w:p>
        </w:tc>
      </w:tr>
      <w:tr w14:paraId="3786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7614B34">
            <w:pPr>
              <w:snapToGrid w:val="0"/>
              <w:ind w:right="113"/>
              <w:jc w:val="center"/>
              <w:rPr>
                <w:rFonts w:hint="eastAsia" w:cs="宋体"/>
                <w:bCs/>
                <w:color w:val="000000"/>
                <w:sz w:val="24"/>
              </w:rPr>
            </w:pPr>
          </w:p>
        </w:tc>
        <w:tc>
          <w:tcPr>
            <w:tcW w:w="958" w:type="dxa"/>
            <w:vMerge w:val="continue"/>
            <w:vAlign w:val="center"/>
          </w:tcPr>
          <w:p w14:paraId="2A8ED053">
            <w:pPr>
              <w:snapToGrid w:val="0"/>
              <w:ind w:left="28"/>
              <w:jc w:val="center"/>
              <w:rPr>
                <w:rFonts w:hint="eastAsia" w:cs="宋体"/>
                <w:bCs/>
                <w:color w:val="000000"/>
                <w:sz w:val="24"/>
              </w:rPr>
            </w:pPr>
          </w:p>
        </w:tc>
        <w:tc>
          <w:tcPr>
            <w:tcW w:w="927" w:type="dxa"/>
            <w:vMerge w:val="continue"/>
            <w:vAlign w:val="center"/>
          </w:tcPr>
          <w:p w14:paraId="43DAD01A">
            <w:pPr>
              <w:snapToGrid w:val="0"/>
              <w:ind w:right="113"/>
              <w:jc w:val="center"/>
              <w:rPr>
                <w:rFonts w:hint="eastAsia" w:cs="宋体"/>
                <w:bCs/>
                <w:color w:val="000000"/>
                <w:sz w:val="24"/>
              </w:rPr>
            </w:pPr>
          </w:p>
        </w:tc>
        <w:tc>
          <w:tcPr>
            <w:tcW w:w="1353" w:type="dxa"/>
            <w:vMerge w:val="continue"/>
            <w:vAlign w:val="center"/>
          </w:tcPr>
          <w:p w14:paraId="3C6E4804">
            <w:pPr>
              <w:snapToGrid w:val="0"/>
              <w:ind w:right="113"/>
              <w:jc w:val="center"/>
              <w:rPr>
                <w:rFonts w:hint="eastAsia" w:cs="宋体"/>
                <w:color w:val="000000"/>
                <w:kern w:val="0"/>
                <w:sz w:val="24"/>
                <w:lang w:val="zh-CN"/>
              </w:rPr>
            </w:pPr>
          </w:p>
        </w:tc>
        <w:tc>
          <w:tcPr>
            <w:tcW w:w="675" w:type="dxa"/>
            <w:vMerge w:val="continue"/>
            <w:vAlign w:val="center"/>
          </w:tcPr>
          <w:p w14:paraId="6DCDA1BC">
            <w:pPr>
              <w:snapToGrid w:val="0"/>
              <w:ind w:right="113"/>
              <w:jc w:val="center"/>
              <w:rPr>
                <w:rFonts w:hint="eastAsia" w:cs="宋体"/>
                <w:color w:val="000000"/>
                <w:kern w:val="0"/>
                <w:sz w:val="24"/>
                <w:lang w:val="zh-CN"/>
              </w:rPr>
            </w:pPr>
          </w:p>
        </w:tc>
        <w:tc>
          <w:tcPr>
            <w:tcW w:w="4788" w:type="dxa"/>
            <w:vAlign w:val="center"/>
          </w:tcPr>
          <w:p w14:paraId="04C292CD">
            <w:pPr>
              <w:spacing w:line="320" w:lineRule="exact"/>
              <w:ind w:firstLine="105"/>
              <w:rPr>
                <w:rFonts w:hint="eastAsia"/>
                <w:color w:val="000000"/>
                <w:sz w:val="24"/>
              </w:rPr>
            </w:pPr>
            <w:r>
              <w:rPr>
                <w:rFonts w:hint="eastAsia"/>
                <w:color w:val="000000"/>
                <w:sz w:val="24"/>
              </w:rPr>
              <w:t>措施基本具体、基本齐全、基本合理，得3.0分</w:t>
            </w:r>
          </w:p>
        </w:tc>
      </w:tr>
      <w:tr w14:paraId="314D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AF7CD81">
            <w:pPr>
              <w:snapToGrid w:val="0"/>
              <w:ind w:right="113"/>
              <w:jc w:val="center"/>
              <w:rPr>
                <w:rFonts w:hint="eastAsia" w:cs="宋体"/>
                <w:color w:val="000000"/>
                <w:sz w:val="24"/>
              </w:rPr>
            </w:pPr>
          </w:p>
        </w:tc>
        <w:tc>
          <w:tcPr>
            <w:tcW w:w="958" w:type="dxa"/>
            <w:vMerge w:val="continue"/>
            <w:vAlign w:val="center"/>
          </w:tcPr>
          <w:p w14:paraId="4F939DA9">
            <w:pPr>
              <w:snapToGrid w:val="0"/>
              <w:ind w:left="28"/>
              <w:jc w:val="center"/>
              <w:rPr>
                <w:rFonts w:hint="eastAsia" w:cs="宋体"/>
                <w:color w:val="000000"/>
                <w:sz w:val="24"/>
              </w:rPr>
            </w:pPr>
          </w:p>
        </w:tc>
        <w:tc>
          <w:tcPr>
            <w:tcW w:w="927" w:type="dxa"/>
            <w:vMerge w:val="continue"/>
            <w:vAlign w:val="center"/>
          </w:tcPr>
          <w:p w14:paraId="6D144764">
            <w:pPr>
              <w:snapToGrid w:val="0"/>
              <w:ind w:right="113"/>
              <w:jc w:val="center"/>
              <w:rPr>
                <w:rFonts w:hint="eastAsia" w:cs="宋体"/>
                <w:color w:val="000000"/>
                <w:sz w:val="24"/>
              </w:rPr>
            </w:pPr>
          </w:p>
        </w:tc>
        <w:tc>
          <w:tcPr>
            <w:tcW w:w="1353" w:type="dxa"/>
            <w:vMerge w:val="restart"/>
            <w:vAlign w:val="center"/>
          </w:tcPr>
          <w:p w14:paraId="3E03AFDB">
            <w:pPr>
              <w:ind w:right="113"/>
              <w:jc w:val="center"/>
              <w:rPr>
                <w:rFonts w:hint="eastAsia"/>
                <w:color w:val="000000"/>
                <w:sz w:val="24"/>
              </w:rPr>
            </w:pPr>
            <w:r>
              <w:rPr>
                <w:rFonts w:hint="eastAsia"/>
                <w:color w:val="000000"/>
                <w:sz w:val="24"/>
              </w:rPr>
              <w:t>工程质量管理体系及保证措施</w:t>
            </w:r>
          </w:p>
        </w:tc>
        <w:tc>
          <w:tcPr>
            <w:tcW w:w="675" w:type="dxa"/>
            <w:vMerge w:val="restart"/>
            <w:vAlign w:val="center"/>
          </w:tcPr>
          <w:p w14:paraId="2E7E2705">
            <w:pPr>
              <w:ind w:right="113"/>
              <w:jc w:val="center"/>
              <w:rPr>
                <w:rFonts w:hint="eastAsia"/>
                <w:color w:val="000000"/>
                <w:sz w:val="24"/>
              </w:rPr>
            </w:pPr>
            <w:r>
              <w:rPr>
                <w:rFonts w:hint="eastAsia"/>
                <w:color w:val="000000"/>
                <w:sz w:val="24"/>
              </w:rPr>
              <w:t>5分</w:t>
            </w:r>
          </w:p>
        </w:tc>
        <w:tc>
          <w:tcPr>
            <w:tcW w:w="4788" w:type="dxa"/>
            <w:vAlign w:val="center"/>
          </w:tcPr>
          <w:p w14:paraId="38ABC914">
            <w:pPr>
              <w:spacing w:line="320" w:lineRule="exact"/>
              <w:ind w:firstLine="105"/>
              <w:rPr>
                <w:rFonts w:hint="eastAsia"/>
                <w:color w:val="000000"/>
                <w:sz w:val="24"/>
              </w:rPr>
            </w:pPr>
            <w:r>
              <w:rPr>
                <w:rFonts w:hint="eastAsia"/>
                <w:color w:val="000000"/>
                <w:sz w:val="24"/>
              </w:rPr>
              <w:t>措施具体、齐全、合理，得4.0－5.0分</w:t>
            </w:r>
          </w:p>
        </w:tc>
      </w:tr>
      <w:tr w14:paraId="53D0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10746455">
            <w:pPr>
              <w:snapToGrid w:val="0"/>
              <w:ind w:right="113"/>
              <w:jc w:val="center"/>
              <w:rPr>
                <w:rFonts w:hint="eastAsia" w:cs="宋体"/>
                <w:color w:val="000000"/>
                <w:spacing w:val="12"/>
                <w:sz w:val="24"/>
              </w:rPr>
            </w:pPr>
          </w:p>
        </w:tc>
        <w:tc>
          <w:tcPr>
            <w:tcW w:w="958" w:type="dxa"/>
            <w:vMerge w:val="continue"/>
            <w:vAlign w:val="center"/>
          </w:tcPr>
          <w:p w14:paraId="5C39CED8">
            <w:pPr>
              <w:snapToGrid w:val="0"/>
              <w:ind w:left="28"/>
              <w:jc w:val="center"/>
              <w:rPr>
                <w:rFonts w:hint="eastAsia" w:cs="宋体"/>
                <w:color w:val="000000"/>
                <w:spacing w:val="12"/>
                <w:sz w:val="24"/>
              </w:rPr>
            </w:pPr>
          </w:p>
        </w:tc>
        <w:tc>
          <w:tcPr>
            <w:tcW w:w="927" w:type="dxa"/>
            <w:vMerge w:val="continue"/>
            <w:vAlign w:val="center"/>
          </w:tcPr>
          <w:p w14:paraId="30C116A0">
            <w:pPr>
              <w:snapToGrid w:val="0"/>
              <w:ind w:right="113"/>
              <w:jc w:val="center"/>
              <w:rPr>
                <w:rFonts w:hint="eastAsia" w:cs="宋体"/>
                <w:color w:val="000000"/>
                <w:spacing w:val="12"/>
                <w:sz w:val="24"/>
              </w:rPr>
            </w:pPr>
          </w:p>
        </w:tc>
        <w:tc>
          <w:tcPr>
            <w:tcW w:w="1353" w:type="dxa"/>
            <w:vMerge w:val="continue"/>
            <w:vAlign w:val="center"/>
          </w:tcPr>
          <w:p w14:paraId="7A8DD003">
            <w:pPr>
              <w:snapToGrid w:val="0"/>
              <w:ind w:right="113"/>
              <w:jc w:val="center"/>
              <w:rPr>
                <w:rFonts w:hint="eastAsia" w:cs="宋体"/>
                <w:color w:val="000000"/>
                <w:kern w:val="0"/>
                <w:sz w:val="24"/>
              </w:rPr>
            </w:pPr>
          </w:p>
        </w:tc>
        <w:tc>
          <w:tcPr>
            <w:tcW w:w="675" w:type="dxa"/>
            <w:vMerge w:val="continue"/>
            <w:vAlign w:val="center"/>
          </w:tcPr>
          <w:p w14:paraId="2D7205C4">
            <w:pPr>
              <w:snapToGrid w:val="0"/>
              <w:ind w:right="113"/>
              <w:jc w:val="center"/>
              <w:rPr>
                <w:rFonts w:hint="eastAsia" w:cs="宋体"/>
                <w:color w:val="000000"/>
                <w:kern w:val="0"/>
                <w:sz w:val="24"/>
              </w:rPr>
            </w:pPr>
          </w:p>
        </w:tc>
        <w:tc>
          <w:tcPr>
            <w:tcW w:w="4788" w:type="dxa"/>
            <w:vAlign w:val="center"/>
          </w:tcPr>
          <w:p w14:paraId="0A5401A7">
            <w:pPr>
              <w:spacing w:line="320" w:lineRule="exact"/>
              <w:ind w:firstLine="105"/>
              <w:rPr>
                <w:rFonts w:hint="eastAsia"/>
                <w:color w:val="000000"/>
                <w:sz w:val="24"/>
              </w:rPr>
            </w:pPr>
            <w:r>
              <w:rPr>
                <w:rFonts w:hint="eastAsia"/>
                <w:color w:val="000000"/>
                <w:sz w:val="24"/>
              </w:rPr>
              <w:t>措施较具体、较齐全、较合理，得3.0-4.0分</w:t>
            </w:r>
          </w:p>
        </w:tc>
      </w:tr>
      <w:tr w14:paraId="7F8C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73A13AC1">
            <w:pPr>
              <w:snapToGrid w:val="0"/>
              <w:ind w:right="113"/>
              <w:jc w:val="center"/>
              <w:rPr>
                <w:rFonts w:hint="eastAsia" w:cs="宋体"/>
                <w:bCs/>
                <w:color w:val="000000"/>
                <w:sz w:val="24"/>
              </w:rPr>
            </w:pPr>
          </w:p>
        </w:tc>
        <w:tc>
          <w:tcPr>
            <w:tcW w:w="958" w:type="dxa"/>
            <w:vMerge w:val="continue"/>
            <w:vAlign w:val="center"/>
          </w:tcPr>
          <w:p w14:paraId="0B57EF1C">
            <w:pPr>
              <w:snapToGrid w:val="0"/>
              <w:ind w:left="28"/>
              <w:jc w:val="center"/>
              <w:rPr>
                <w:rFonts w:hint="eastAsia" w:cs="宋体"/>
                <w:bCs/>
                <w:color w:val="000000"/>
                <w:sz w:val="24"/>
              </w:rPr>
            </w:pPr>
          </w:p>
        </w:tc>
        <w:tc>
          <w:tcPr>
            <w:tcW w:w="927" w:type="dxa"/>
            <w:vMerge w:val="continue"/>
            <w:vAlign w:val="center"/>
          </w:tcPr>
          <w:p w14:paraId="477CB55A">
            <w:pPr>
              <w:snapToGrid w:val="0"/>
              <w:ind w:right="113"/>
              <w:jc w:val="center"/>
              <w:rPr>
                <w:rFonts w:hint="eastAsia" w:cs="宋体"/>
                <w:bCs/>
                <w:color w:val="000000"/>
                <w:sz w:val="24"/>
              </w:rPr>
            </w:pPr>
          </w:p>
        </w:tc>
        <w:tc>
          <w:tcPr>
            <w:tcW w:w="1353" w:type="dxa"/>
            <w:vMerge w:val="continue"/>
            <w:vAlign w:val="center"/>
          </w:tcPr>
          <w:p w14:paraId="16460FAB">
            <w:pPr>
              <w:snapToGrid w:val="0"/>
              <w:ind w:right="113"/>
              <w:jc w:val="center"/>
              <w:rPr>
                <w:rFonts w:hint="eastAsia" w:cs="宋体"/>
                <w:color w:val="000000"/>
                <w:kern w:val="0"/>
                <w:sz w:val="24"/>
                <w:lang w:val="zh-CN"/>
              </w:rPr>
            </w:pPr>
          </w:p>
        </w:tc>
        <w:tc>
          <w:tcPr>
            <w:tcW w:w="675" w:type="dxa"/>
            <w:vMerge w:val="continue"/>
            <w:vAlign w:val="center"/>
          </w:tcPr>
          <w:p w14:paraId="18D3E206">
            <w:pPr>
              <w:snapToGrid w:val="0"/>
              <w:ind w:right="113"/>
              <w:jc w:val="center"/>
              <w:rPr>
                <w:rFonts w:hint="eastAsia" w:cs="宋体"/>
                <w:color w:val="000000"/>
                <w:kern w:val="0"/>
                <w:sz w:val="24"/>
                <w:lang w:val="zh-CN"/>
              </w:rPr>
            </w:pPr>
          </w:p>
        </w:tc>
        <w:tc>
          <w:tcPr>
            <w:tcW w:w="4788" w:type="dxa"/>
            <w:vAlign w:val="center"/>
          </w:tcPr>
          <w:p w14:paraId="1392BDEC">
            <w:pPr>
              <w:spacing w:line="320" w:lineRule="exact"/>
              <w:ind w:firstLine="105"/>
              <w:rPr>
                <w:rFonts w:hint="eastAsia"/>
                <w:color w:val="000000"/>
                <w:sz w:val="24"/>
              </w:rPr>
            </w:pPr>
            <w:r>
              <w:rPr>
                <w:rFonts w:hint="eastAsia"/>
                <w:color w:val="000000"/>
                <w:sz w:val="24"/>
              </w:rPr>
              <w:t>措施基本具体、基本齐全、基本合理，得3.0分</w:t>
            </w:r>
          </w:p>
        </w:tc>
      </w:tr>
      <w:tr w14:paraId="6CCF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58AD4ECD">
            <w:pPr>
              <w:snapToGrid w:val="0"/>
              <w:ind w:right="113"/>
              <w:jc w:val="center"/>
              <w:rPr>
                <w:rFonts w:hint="eastAsia" w:cs="宋体"/>
                <w:color w:val="000000"/>
                <w:sz w:val="24"/>
              </w:rPr>
            </w:pPr>
          </w:p>
        </w:tc>
        <w:tc>
          <w:tcPr>
            <w:tcW w:w="958" w:type="dxa"/>
            <w:vMerge w:val="continue"/>
            <w:vAlign w:val="center"/>
          </w:tcPr>
          <w:p w14:paraId="0BB4E9D0">
            <w:pPr>
              <w:snapToGrid w:val="0"/>
              <w:ind w:left="28"/>
              <w:jc w:val="center"/>
              <w:rPr>
                <w:rFonts w:hint="eastAsia" w:cs="宋体"/>
                <w:color w:val="000000"/>
                <w:sz w:val="24"/>
              </w:rPr>
            </w:pPr>
          </w:p>
        </w:tc>
        <w:tc>
          <w:tcPr>
            <w:tcW w:w="927" w:type="dxa"/>
            <w:vMerge w:val="continue"/>
            <w:vAlign w:val="center"/>
          </w:tcPr>
          <w:p w14:paraId="367A9426">
            <w:pPr>
              <w:snapToGrid w:val="0"/>
              <w:ind w:right="113"/>
              <w:jc w:val="center"/>
              <w:rPr>
                <w:rFonts w:hint="eastAsia" w:cs="宋体"/>
                <w:color w:val="000000"/>
                <w:sz w:val="24"/>
              </w:rPr>
            </w:pPr>
          </w:p>
        </w:tc>
        <w:tc>
          <w:tcPr>
            <w:tcW w:w="1353" w:type="dxa"/>
            <w:vMerge w:val="restart"/>
            <w:vAlign w:val="center"/>
          </w:tcPr>
          <w:p w14:paraId="17924981">
            <w:pPr>
              <w:ind w:right="113"/>
              <w:jc w:val="center"/>
              <w:rPr>
                <w:rFonts w:hint="eastAsia"/>
                <w:color w:val="000000"/>
                <w:sz w:val="24"/>
              </w:rPr>
            </w:pPr>
            <w:r>
              <w:rPr>
                <w:rFonts w:hint="eastAsia"/>
                <w:color w:val="000000"/>
                <w:sz w:val="24"/>
              </w:rPr>
              <w:t>安全生产管理体系及保证措施</w:t>
            </w:r>
          </w:p>
        </w:tc>
        <w:tc>
          <w:tcPr>
            <w:tcW w:w="675" w:type="dxa"/>
            <w:vMerge w:val="restart"/>
            <w:vAlign w:val="center"/>
          </w:tcPr>
          <w:p w14:paraId="621A8937">
            <w:pPr>
              <w:ind w:right="113"/>
              <w:jc w:val="center"/>
              <w:rPr>
                <w:rFonts w:hint="eastAsia"/>
                <w:color w:val="000000"/>
                <w:sz w:val="24"/>
              </w:rPr>
            </w:pPr>
            <w:r>
              <w:rPr>
                <w:rFonts w:hint="eastAsia"/>
                <w:color w:val="000000"/>
                <w:sz w:val="24"/>
              </w:rPr>
              <w:t>4分</w:t>
            </w:r>
          </w:p>
        </w:tc>
        <w:tc>
          <w:tcPr>
            <w:tcW w:w="4788" w:type="dxa"/>
            <w:vAlign w:val="center"/>
          </w:tcPr>
          <w:p w14:paraId="2F0EFB64">
            <w:pPr>
              <w:spacing w:line="320" w:lineRule="exact"/>
              <w:ind w:firstLine="105"/>
              <w:rPr>
                <w:rFonts w:hint="eastAsia"/>
                <w:color w:val="000000"/>
                <w:sz w:val="24"/>
              </w:rPr>
            </w:pPr>
            <w:r>
              <w:rPr>
                <w:rFonts w:hint="eastAsia"/>
                <w:color w:val="000000"/>
                <w:sz w:val="24"/>
              </w:rPr>
              <w:t>措施具体、齐全、合理，得3.2－4.0分</w:t>
            </w:r>
          </w:p>
        </w:tc>
      </w:tr>
      <w:tr w14:paraId="602B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5C6DBB25">
            <w:pPr>
              <w:snapToGrid w:val="0"/>
              <w:ind w:right="113"/>
              <w:jc w:val="center"/>
              <w:rPr>
                <w:rFonts w:hint="eastAsia" w:cs="宋体"/>
                <w:color w:val="000000"/>
                <w:spacing w:val="12"/>
                <w:sz w:val="24"/>
              </w:rPr>
            </w:pPr>
          </w:p>
        </w:tc>
        <w:tc>
          <w:tcPr>
            <w:tcW w:w="958" w:type="dxa"/>
            <w:vMerge w:val="continue"/>
            <w:vAlign w:val="center"/>
          </w:tcPr>
          <w:p w14:paraId="78B16E81">
            <w:pPr>
              <w:snapToGrid w:val="0"/>
              <w:ind w:left="28"/>
              <w:jc w:val="center"/>
              <w:rPr>
                <w:rFonts w:hint="eastAsia" w:cs="宋体"/>
                <w:color w:val="000000"/>
                <w:spacing w:val="12"/>
                <w:sz w:val="24"/>
              </w:rPr>
            </w:pPr>
          </w:p>
        </w:tc>
        <w:tc>
          <w:tcPr>
            <w:tcW w:w="927" w:type="dxa"/>
            <w:vMerge w:val="continue"/>
            <w:vAlign w:val="center"/>
          </w:tcPr>
          <w:p w14:paraId="49E93290">
            <w:pPr>
              <w:snapToGrid w:val="0"/>
              <w:ind w:right="113"/>
              <w:jc w:val="center"/>
              <w:rPr>
                <w:rFonts w:hint="eastAsia" w:cs="宋体"/>
                <w:color w:val="000000"/>
                <w:spacing w:val="12"/>
                <w:sz w:val="24"/>
              </w:rPr>
            </w:pPr>
          </w:p>
        </w:tc>
        <w:tc>
          <w:tcPr>
            <w:tcW w:w="1353" w:type="dxa"/>
            <w:vMerge w:val="continue"/>
            <w:vAlign w:val="center"/>
          </w:tcPr>
          <w:p w14:paraId="1245A724">
            <w:pPr>
              <w:snapToGrid w:val="0"/>
              <w:ind w:right="113"/>
              <w:jc w:val="center"/>
              <w:rPr>
                <w:rFonts w:hint="eastAsia" w:cs="宋体"/>
                <w:color w:val="000000"/>
                <w:kern w:val="0"/>
                <w:sz w:val="24"/>
              </w:rPr>
            </w:pPr>
          </w:p>
        </w:tc>
        <w:tc>
          <w:tcPr>
            <w:tcW w:w="675" w:type="dxa"/>
            <w:vMerge w:val="continue"/>
            <w:vAlign w:val="center"/>
          </w:tcPr>
          <w:p w14:paraId="1529C7FA">
            <w:pPr>
              <w:snapToGrid w:val="0"/>
              <w:ind w:right="113"/>
              <w:jc w:val="center"/>
              <w:rPr>
                <w:rFonts w:hint="eastAsia" w:cs="宋体"/>
                <w:color w:val="000000"/>
                <w:kern w:val="0"/>
                <w:sz w:val="24"/>
              </w:rPr>
            </w:pPr>
          </w:p>
        </w:tc>
        <w:tc>
          <w:tcPr>
            <w:tcW w:w="4788" w:type="dxa"/>
            <w:vAlign w:val="center"/>
          </w:tcPr>
          <w:p w14:paraId="7EE988A0">
            <w:pPr>
              <w:spacing w:line="320" w:lineRule="exact"/>
              <w:ind w:firstLine="105"/>
              <w:rPr>
                <w:rFonts w:hint="eastAsia"/>
                <w:color w:val="000000"/>
                <w:sz w:val="24"/>
              </w:rPr>
            </w:pPr>
            <w:r>
              <w:rPr>
                <w:rFonts w:hint="eastAsia"/>
                <w:color w:val="000000"/>
                <w:sz w:val="24"/>
              </w:rPr>
              <w:t>措施较具体、较齐全、较合理，得2.4-3.2分</w:t>
            </w:r>
          </w:p>
        </w:tc>
      </w:tr>
      <w:tr w14:paraId="50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79657955">
            <w:pPr>
              <w:snapToGrid w:val="0"/>
              <w:ind w:right="113"/>
              <w:jc w:val="center"/>
              <w:rPr>
                <w:rFonts w:hint="eastAsia" w:cs="宋体"/>
                <w:bCs/>
                <w:color w:val="000000"/>
                <w:sz w:val="24"/>
              </w:rPr>
            </w:pPr>
          </w:p>
        </w:tc>
        <w:tc>
          <w:tcPr>
            <w:tcW w:w="958" w:type="dxa"/>
            <w:vMerge w:val="continue"/>
            <w:vAlign w:val="center"/>
          </w:tcPr>
          <w:p w14:paraId="44ECBA66">
            <w:pPr>
              <w:snapToGrid w:val="0"/>
              <w:ind w:left="28"/>
              <w:jc w:val="center"/>
              <w:rPr>
                <w:rFonts w:hint="eastAsia" w:cs="宋体"/>
                <w:bCs/>
                <w:color w:val="000000"/>
                <w:sz w:val="24"/>
              </w:rPr>
            </w:pPr>
          </w:p>
        </w:tc>
        <w:tc>
          <w:tcPr>
            <w:tcW w:w="927" w:type="dxa"/>
            <w:vMerge w:val="continue"/>
            <w:vAlign w:val="center"/>
          </w:tcPr>
          <w:p w14:paraId="48B7B318">
            <w:pPr>
              <w:snapToGrid w:val="0"/>
              <w:ind w:right="113"/>
              <w:jc w:val="center"/>
              <w:rPr>
                <w:rFonts w:hint="eastAsia" w:cs="宋体"/>
                <w:bCs/>
                <w:color w:val="000000"/>
                <w:sz w:val="24"/>
              </w:rPr>
            </w:pPr>
          </w:p>
        </w:tc>
        <w:tc>
          <w:tcPr>
            <w:tcW w:w="1353" w:type="dxa"/>
            <w:vMerge w:val="continue"/>
            <w:vAlign w:val="center"/>
          </w:tcPr>
          <w:p w14:paraId="4A5E89F7">
            <w:pPr>
              <w:snapToGrid w:val="0"/>
              <w:ind w:right="113"/>
              <w:jc w:val="center"/>
              <w:rPr>
                <w:rFonts w:hint="eastAsia" w:cs="宋体"/>
                <w:color w:val="000000"/>
                <w:kern w:val="0"/>
                <w:sz w:val="24"/>
                <w:lang w:val="zh-CN"/>
              </w:rPr>
            </w:pPr>
          </w:p>
        </w:tc>
        <w:tc>
          <w:tcPr>
            <w:tcW w:w="675" w:type="dxa"/>
            <w:vMerge w:val="continue"/>
            <w:vAlign w:val="center"/>
          </w:tcPr>
          <w:p w14:paraId="27DFB84D">
            <w:pPr>
              <w:snapToGrid w:val="0"/>
              <w:ind w:right="113"/>
              <w:jc w:val="center"/>
              <w:rPr>
                <w:rFonts w:hint="eastAsia" w:cs="宋体"/>
                <w:color w:val="000000"/>
                <w:kern w:val="0"/>
                <w:sz w:val="24"/>
                <w:lang w:val="zh-CN"/>
              </w:rPr>
            </w:pPr>
          </w:p>
        </w:tc>
        <w:tc>
          <w:tcPr>
            <w:tcW w:w="4788" w:type="dxa"/>
            <w:vAlign w:val="center"/>
          </w:tcPr>
          <w:p w14:paraId="4CAE2735">
            <w:pPr>
              <w:spacing w:line="320" w:lineRule="exact"/>
              <w:ind w:firstLine="105"/>
              <w:rPr>
                <w:rFonts w:hint="eastAsia"/>
                <w:color w:val="000000"/>
                <w:sz w:val="24"/>
              </w:rPr>
            </w:pPr>
            <w:r>
              <w:rPr>
                <w:rFonts w:hint="eastAsia"/>
                <w:color w:val="000000"/>
                <w:sz w:val="24"/>
              </w:rPr>
              <w:t>措施基本具体、基本齐全、基本合理，得2.4分</w:t>
            </w:r>
          </w:p>
        </w:tc>
      </w:tr>
      <w:tr w14:paraId="799B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67565340">
            <w:pPr>
              <w:snapToGrid w:val="0"/>
              <w:ind w:right="113"/>
              <w:jc w:val="center"/>
              <w:rPr>
                <w:rFonts w:hint="eastAsia" w:cs="宋体"/>
                <w:bCs/>
                <w:color w:val="000000"/>
                <w:sz w:val="24"/>
              </w:rPr>
            </w:pPr>
          </w:p>
        </w:tc>
        <w:tc>
          <w:tcPr>
            <w:tcW w:w="958" w:type="dxa"/>
            <w:vMerge w:val="continue"/>
            <w:vAlign w:val="center"/>
          </w:tcPr>
          <w:p w14:paraId="75C4BEE6">
            <w:pPr>
              <w:snapToGrid w:val="0"/>
              <w:ind w:left="28"/>
              <w:jc w:val="center"/>
              <w:rPr>
                <w:rFonts w:hint="eastAsia" w:cs="宋体"/>
                <w:bCs/>
                <w:color w:val="000000"/>
                <w:sz w:val="24"/>
              </w:rPr>
            </w:pPr>
          </w:p>
        </w:tc>
        <w:tc>
          <w:tcPr>
            <w:tcW w:w="927" w:type="dxa"/>
            <w:vMerge w:val="continue"/>
            <w:vAlign w:val="center"/>
          </w:tcPr>
          <w:p w14:paraId="17DC790A">
            <w:pPr>
              <w:snapToGrid w:val="0"/>
              <w:ind w:right="113"/>
              <w:jc w:val="center"/>
              <w:rPr>
                <w:rFonts w:hint="eastAsia" w:cs="宋体"/>
                <w:bCs/>
                <w:color w:val="000000"/>
                <w:sz w:val="24"/>
              </w:rPr>
            </w:pPr>
          </w:p>
        </w:tc>
        <w:tc>
          <w:tcPr>
            <w:tcW w:w="1353" w:type="dxa"/>
            <w:vMerge w:val="restart"/>
            <w:vAlign w:val="center"/>
          </w:tcPr>
          <w:p w14:paraId="001C354D">
            <w:pPr>
              <w:snapToGrid w:val="0"/>
              <w:ind w:right="113"/>
              <w:jc w:val="center"/>
              <w:rPr>
                <w:rFonts w:hint="eastAsia" w:cs="宋体"/>
                <w:color w:val="000000"/>
                <w:kern w:val="0"/>
                <w:sz w:val="24"/>
                <w:lang w:val="zh-CN"/>
              </w:rPr>
            </w:pPr>
            <w:r>
              <w:rPr>
                <w:rFonts w:hint="eastAsia"/>
                <w:color w:val="000000"/>
                <w:sz w:val="24"/>
              </w:rPr>
              <w:t>环境保护、水土保持保证体系及保证措施</w:t>
            </w:r>
          </w:p>
        </w:tc>
        <w:tc>
          <w:tcPr>
            <w:tcW w:w="675" w:type="dxa"/>
            <w:vMerge w:val="restart"/>
            <w:vAlign w:val="center"/>
          </w:tcPr>
          <w:p w14:paraId="55357515">
            <w:pPr>
              <w:snapToGrid w:val="0"/>
              <w:ind w:right="113"/>
              <w:jc w:val="center"/>
              <w:rPr>
                <w:rFonts w:hint="eastAsia" w:cs="宋体"/>
                <w:color w:val="000000"/>
                <w:kern w:val="0"/>
                <w:sz w:val="24"/>
                <w:lang w:val="zh-CN"/>
              </w:rPr>
            </w:pPr>
            <w:r>
              <w:rPr>
                <w:rFonts w:hint="eastAsia" w:cs="宋体"/>
                <w:color w:val="000000"/>
                <w:sz w:val="24"/>
              </w:rPr>
              <w:t>4分</w:t>
            </w:r>
          </w:p>
        </w:tc>
        <w:tc>
          <w:tcPr>
            <w:tcW w:w="4788" w:type="dxa"/>
            <w:vAlign w:val="center"/>
          </w:tcPr>
          <w:p w14:paraId="7ED9839D">
            <w:pPr>
              <w:spacing w:line="320" w:lineRule="exact"/>
              <w:ind w:firstLine="105"/>
              <w:rPr>
                <w:rFonts w:hint="eastAsia"/>
                <w:color w:val="000000"/>
                <w:sz w:val="24"/>
              </w:rPr>
            </w:pPr>
            <w:r>
              <w:rPr>
                <w:rFonts w:hint="eastAsia"/>
                <w:color w:val="000000"/>
                <w:sz w:val="24"/>
              </w:rPr>
              <w:t>措施具体、齐全、合理，得3.2－4.0分</w:t>
            </w:r>
          </w:p>
        </w:tc>
      </w:tr>
      <w:tr w14:paraId="04F0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4DB049AB">
            <w:pPr>
              <w:snapToGrid w:val="0"/>
              <w:ind w:right="113"/>
              <w:jc w:val="center"/>
              <w:rPr>
                <w:rFonts w:hint="eastAsia" w:cs="宋体"/>
                <w:bCs/>
                <w:color w:val="000000"/>
                <w:sz w:val="24"/>
              </w:rPr>
            </w:pPr>
          </w:p>
        </w:tc>
        <w:tc>
          <w:tcPr>
            <w:tcW w:w="958" w:type="dxa"/>
            <w:vMerge w:val="continue"/>
            <w:vAlign w:val="center"/>
          </w:tcPr>
          <w:p w14:paraId="7F07118A">
            <w:pPr>
              <w:snapToGrid w:val="0"/>
              <w:ind w:left="28"/>
              <w:jc w:val="center"/>
              <w:rPr>
                <w:rFonts w:hint="eastAsia" w:cs="宋体"/>
                <w:bCs/>
                <w:color w:val="000000"/>
                <w:sz w:val="24"/>
              </w:rPr>
            </w:pPr>
          </w:p>
        </w:tc>
        <w:tc>
          <w:tcPr>
            <w:tcW w:w="927" w:type="dxa"/>
            <w:vMerge w:val="continue"/>
            <w:vAlign w:val="center"/>
          </w:tcPr>
          <w:p w14:paraId="4D38D4F7">
            <w:pPr>
              <w:snapToGrid w:val="0"/>
              <w:ind w:right="113"/>
              <w:jc w:val="center"/>
              <w:rPr>
                <w:rFonts w:hint="eastAsia" w:cs="宋体"/>
                <w:bCs/>
                <w:color w:val="000000"/>
                <w:sz w:val="24"/>
              </w:rPr>
            </w:pPr>
          </w:p>
        </w:tc>
        <w:tc>
          <w:tcPr>
            <w:tcW w:w="1353" w:type="dxa"/>
            <w:vMerge w:val="continue"/>
            <w:vAlign w:val="center"/>
          </w:tcPr>
          <w:p w14:paraId="184EEF0F">
            <w:pPr>
              <w:snapToGrid w:val="0"/>
              <w:ind w:right="113"/>
              <w:jc w:val="center"/>
              <w:rPr>
                <w:rFonts w:hint="eastAsia" w:cs="宋体"/>
                <w:color w:val="000000"/>
                <w:kern w:val="0"/>
                <w:sz w:val="24"/>
                <w:lang w:val="zh-CN"/>
              </w:rPr>
            </w:pPr>
          </w:p>
        </w:tc>
        <w:tc>
          <w:tcPr>
            <w:tcW w:w="675" w:type="dxa"/>
            <w:vMerge w:val="continue"/>
            <w:vAlign w:val="center"/>
          </w:tcPr>
          <w:p w14:paraId="2735D86F">
            <w:pPr>
              <w:snapToGrid w:val="0"/>
              <w:ind w:right="113"/>
              <w:jc w:val="center"/>
              <w:rPr>
                <w:rFonts w:hint="eastAsia" w:cs="宋体"/>
                <w:color w:val="000000"/>
                <w:kern w:val="0"/>
                <w:sz w:val="24"/>
                <w:lang w:val="zh-CN"/>
              </w:rPr>
            </w:pPr>
          </w:p>
        </w:tc>
        <w:tc>
          <w:tcPr>
            <w:tcW w:w="4788" w:type="dxa"/>
            <w:vAlign w:val="center"/>
          </w:tcPr>
          <w:p w14:paraId="57BCE6D3">
            <w:pPr>
              <w:spacing w:line="320" w:lineRule="exact"/>
              <w:ind w:firstLine="105"/>
              <w:rPr>
                <w:rFonts w:hint="eastAsia"/>
                <w:color w:val="000000"/>
                <w:sz w:val="24"/>
              </w:rPr>
            </w:pPr>
            <w:r>
              <w:rPr>
                <w:rFonts w:hint="eastAsia"/>
                <w:color w:val="000000"/>
                <w:sz w:val="24"/>
              </w:rPr>
              <w:t>措施较具体、较齐全、较合理，得2.4-3.2分</w:t>
            </w:r>
          </w:p>
        </w:tc>
      </w:tr>
      <w:tr w14:paraId="11E5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09D3A351">
            <w:pPr>
              <w:snapToGrid w:val="0"/>
              <w:ind w:right="113"/>
              <w:jc w:val="center"/>
              <w:rPr>
                <w:rFonts w:hint="eastAsia" w:cs="宋体"/>
                <w:bCs/>
                <w:color w:val="000000"/>
                <w:sz w:val="24"/>
              </w:rPr>
            </w:pPr>
          </w:p>
        </w:tc>
        <w:tc>
          <w:tcPr>
            <w:tcW w:w="958" w:type="dxa"/>
            <w:vMerge w:val="continue"/>
            <w:vAlign w:val="center"/>
          </w:tcPr>
          <w:p w14:paraId="172D0C55">
            <w:pPr>
              <w:snapToGrid w:val="0"/>
              <w:ind w:left="28"/>
              <w:jc w:val="center"/>
              <w:rPr>
                <w:rFonts w:hint="eastAsia" w:cs="宋体"/>
                <w:bCs/>
                <w:color w:val="000000"/>
                <w:sz w:val="24"/>
              </w:rPr>
            </w:pPr>
          </w:p>
        </w:tc>
        <w:tc>
          <w:tcPr>
            <w:tcW w:w="927" w:type="dxa"/>
            <w:vMerge w:val="continue"/>
            <w:vAlign w:val="center"/>
          </w:tcPr>
          <w:p w14:paraId="363ECB4E">
            <w:pPr>
              <w:snapToGrid w:val="0"/>
              <w:ind w:right="113"/>
              <w:jc w:val="center"/>
              <w:rPr>
                <w:rFonts w:hint="eastAsia" w:cs="宋体"/>
                <w:bCs/>
                <w:color w:val="000000"/>
                <w:sz w:val="24"/>
              </w:rPr>
            </w:pPr>
          </w:p>
        </w:tc>
        <w:tc>
          <w:tcPr>
            <w:tcW w:w="1353" w:type="dxa"/>
            <w:vMerge w:val="continue"/>
            <w:vAlign w:val="center"/>
          </w:tcPr>
          <w:p w14:paraId="220A528B">
            <w:pPr>
              <w:snapToGrid w:val="0"/>
              <w:ind w:right="113"/>
              <w:jc w:val="center"/>
              <w:rPr>
                <w:rFonts w:hint="eastAsia" w:cs="宋体"/>
                <w:color w:val="000000"/>
                <w:kern w:val="0"/>
                <w:sz w:val="24"/>
                <w:lang w:val="zh-CN"/>
              </w:rPr>
            </w:pPr>
          </w:p>
        </w:tc>
        <w:tc>
          <w:tcPr>
            <w:tcW w:w="675" w:type="dxa"/>
            <w:vMerge w:val="continue"/>
            <w:vAlign w:val="center"/>
          </w:tcPr>
          <w:p w14:paraId="010D64DC">
            <w:pPr>
              <w:snapToGrid w:val="0"/>
              <w:ind w:right="113"/>
              <w:jc w:val="center"/>
              <w:rPr>
                <w:rFonts w:hint="eastAsia" w:cs="宋体"/>
                <w:color w:val="000000"/>
                <w:kern w:val="0"/>
                <w:sz w:val="24"/>
                <w:lang w:val="zh-CN"/>
              </w:rPr>
            </w:pPr>
          </w:p>
        </w:tc>
        <w:tc>
          <w:tcPr>
            <w:tcW w:w="4788" w:type="dxa"/>
            <w:vAlign w:val="center"/>
          </w:tcPr>
          <w:p w14:paraId="79E2EE89">
            <w:pPr>
              <w:spacing w:line="320" w:lineRule="exact"/>
              <w:ind w:firstLine="105"/>
              <w:rPr>
                <w:rFonts w:hint="eastAsia"/>
                <w:color w:val="000000"/>
                <w:sz w:val="24"/>
              </w:rPr>
            </w:pPr>
            <w:r>
              <w:rPr>
                <w:rFonts w:hint="eastAsia"/>
                <w:color w:val="000000"/>
                <w:sz w:val="24"/>
              </w:rPr>
              <w:t>措施基本具体、基本齐全、基本合理，得2.4分</w:t>
            </w:r>
          </w:p>
        </w:tc>
      </w:tr>
      <w:tr w14:paraId="60F8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ED45C2D">
            <w:pPr>
              <w:snapToGrid w:val="0"/>
              <w:ind w:right="113"/>
              <w:jc w:val="center"/>
              <w:rPr>
                <w:rFonts w:hint="eastAsia" w:cs="宋体"/>
                <w:bCs/>
                <w:color w:val="000000"/>
                <w:sz w:val="24"/>
              </w:rPr>
            </w:pPr>
          </w:p>
        </w:tc>
        <w:tc>
          <w:tcPr>
            <w:tcW w:w="958" w:type="dxa"/>
            <w:vMerge w:val="continue"/>
            <w:vAlign w:val="center"/>
          </w:tcPr>
          <w:p w14:paraId="73E0F6EC">
            <w:pPr>
              <w:snapToGrid w:val="0"/>
              <w:ind w:left="28"/>
              <w:jc w:val="center"/>
              <w:rPr>
                <w:rFonts w:hint="eastAsia" w:cs="宋体"/>
                <w:bCs/>
                <w:color w:val="000000"/>
                <w:sz w:val="24"/>
              </w:rPr>
            </w:pPr>
          </w:p>
        </w:tc>
        <w:tc>
          <w:tcPr>
            <w:tcW w:w="927" w:type="dxa"/>
            <w:vMerge w:val="continue"/>
            <w:vAlign w:val="center"/>
          </w:tcPr>
          <w:p w14:paraId="186DAE01">
            <w:pPr>
              <w:snapToGrid w:val="0"/>
              <w:ind w:right="113"/>
              <w:jc w:val="center"/>
              <w:rPr>
                <w:rFonts w:hint="eastAsia" w:cs="宋体"/>
                <w:bCs/>
                <w:color w:val="000000"/>
                <w:sz w:val="24"/>
              </w:rPr>
            </w:pPr>
          </w:p>
        </w:tc>
        <w:tc>
          <w:tcPr>
            <w:tcW w:w="1353" w:type="dxa"/>
            <w:vMerge w:val="restart"/>
            <w:vAlign w:val="center"/>
          </w:tcPr>
          <w:p w14:paraId="42B90FFD">
            <w:pPr>
              <w:snapToGrid w:val="0"/>
              <w:ind w:right="113"/>
              <w:jc w:val="center"/>
              <w:rPr>
                <w:rFonts w:hint="eastAsia" w:cs="宋体"/>
                <w:color w:val="000000"/>
                <w:kern w:val="0"/>
                <w:sz w:val="24"/>
                <w:lang w:val="zh-CN"/>
              </w:rPr>
            </w:pPr>
            <w:r>
              <w:rPr>
                <w:rFonts w:hint="eastAsia"/>
                <w:color w:val="000000"/>
                <w:sz w:val="24"/>
              </w:rPr>
              <w:t>文明施工保证体系及保证措施</w:t>
            </w:r>
          </w:p>
        </w:tc>
        <w:tc>
          <w:tcPr>
            <w:tcW w:w="675" w:type="dxa"/>
            <w:vMerge w:val="restart"/>
            <w:vAlign w:val="center"/>
          </w:tcPr>
          <w:p w14:paraId="50A73C85">
            <w:pPr>
              <w:snapToGrid w:val="0"/>
              <w:ind w:right="113"/>
              <w:jc w:val="center"/>
              <w:rPr>
                <w:rFonts w:hint="eastAsia" w:cs="宋体"/>
                <w:color w:val="000000"/>
                <w:kern w:val="0"/>
                <w:sz w:val="24"/>
                <w:lang w:val="zh-CN"/>
              </w:rPr>
            </w:pPr>
            <w:r>
              <w:rPr>
                <w:rFonts w:hint="eastAsia"/>
                <w:color w:val="000000"/>
                <w:sz w:val="24"/>
              </w:rPr>
              <w:t>4分</w:t>
            </w:r>
          </w:p>
        </w:tc>
        <w:tc>
          <w:tcPr>
            <w:tcW w:w="4788" w:type="dxa"/>
            <w:vAlign w:val="center"/>
          </w:tcPr>
          <w:p w14:paraId="3AC98B77">
            <w:pPr>
              <w:spacing w:line="320" w:lineRule="exact"/>
              <w:ind w:firstLine="105"/>
              <w:rPr>
                <w:rFonts w:hint="eastAsia"/>
                <w:color w:val="000000"/>
                <w:sz w:val="24"/>
              </w:rPr>
            </w:pPr>
            <w:r>
              <w:rPr>
                <w:rFonts w:hint="eastAsia"/>
                <w:color w:val="000000"/>
                <w:sz w:val="24"/>
              </w:rPr>
              <w:t>措施具体、齐全、合理，得3.2－4.0分</w:t>
            </w:r>
          </w:p>
        </w:tc>
      </w:tr>
      <w:tr w14:paraId="4EEE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2A6B6CF7">
            <w:pPr>
              <w:snapToGrid w:val="0"/>
              <w:ind w:right="113"/>
              <w:jc w:val="center"/>
              <w:rPr>
                <w:rFonts w:hint="eastAsia" w:cs="宋体"/>
                <w:bCs/>
                <w:color w:val="000000"/>
                <w:sz w:val="24"/>
              </w:rPr>
            </w:pPr>
          </w:p>
        </w:tc>
        <w:tc>
          <w:tcPr>
            <w:tcW w:w="958" w:type="dxa"/>
            <w:vMerge w:val="continue"/>
            <w:vAlign w:val="center"/>
          </w:tcPr>
          <w:p w14:paraId="764008DC">
            <w:pPr>
              <w:snapToGrid w:val="0"/>
              <w:ind w:left="28"/>
              <w:jc w:val="center"/>
              <w:rPr>
                <w:rFonts w:hint="eastAsia" w:cs="宋体"/>
                <w:bCs/>
                <w:color w:val="000000"/>
                <w:sz w:val="24"/>
              </w:rPr>
            </w:pPr>
          </w:p>
        </w:tc>
        <w:tc>
          <w:tcPr>
            <w:tcW w:w="927" w:type="dxa"/>
            <w:vMerge w:val="continue"/>
            <w:vAlign w:val="center"/>
          </w:tcPr>
          <w:p w14:paraId="11A0C48E">
            <w:pPr>
              <w:snapToGrid w:val="0"/>
              <w:ind w:right="113"/>
              <w:jc w:val="center"/>
              <w:rPr>
                <w:rFonts w:hint="eastAsia" w:cs="宋体"/>
                <w:bCs/>
                <w:color w:val="000000"/>
                <w:sz w:val="24"/>
              </w:rPr>
            </w:pPr>
          </w:p>
        </w:tc>
        <w:tc>
          <w:tcPr>
            <w:tcW w:w="1353" w:type="dxa"/>
            <w:vMerge w:val="continue"/>
          </w:tcPr>
          <w:p w14:paraId="5FA12CF6">
            <w:pPr>
              <w:snapToGrid w:val="0"/>
              <w:ind w:right="113"/>
              <w:jc w:val="center"/>
              <w:rPr>
                <w:rFonts w:hint="eastAsia" w:cs="宋体"/>
                <w:color w:val="000000"/>
                <w:kern w:val="0"/>
                <w:sz w:val="24"/>
                <w:lang w:val="zh-CN"/>
              </w:rPr>
            </w:pPr>
          </w:p>
        </w:tc>
        <w:tc>
          <w:tcPr>
            <w:tcW w:w="675" w:type="dxa"/>
            <w:vMerge w:val="continue"/>
            <w:vAlign w:val="center"/>
          </w:tcPr>
          <w:p w14:paraId="4546CE1B">
            <w:pPr>
              <w:snapToGrid w:val="0"/>
              <w:ind w:right="113"/>
              <w:jc w:val="center"/>
              <w:rPr>
                <w:rFonts w:hint="eastAsia" w:cs="宋体"/>
                <w:color w:val="000000"/>
                <w:kern w:val="0"/>
                <w:sz w:val="24"/>
                <w:lang w:val="zh-CN"/>
              </w:rPr>
            </w:pPr>
          </w:p>
        </w:tc>
        <w:tc>
          <w:tcPr>
            <w:tcW w:w="4788" w:type="dxa"/>
            <w:vAlign w:val="center"/>
          </w:tcPr>
          <w:p w14:paraId="485DBB7F">
            <w:pPr>
              <w:spacing w:line="320" w:lineRule="exact"/>
              <w:ind w:firstLine="105"/>
              <w:rPr>
                <w:rFonts w:hint="eastAsia"/>
                <w:color w:val="000000"/>
                <w:sz w:val="24"/>
              </w:rPr>
            </w:pPr>
            <w:r>
              <w:rPr>
                <w:rFonts w:hint="eastAsia"/>
                <w:color w:val="000000"/>
                <w:sz w:val="24"/>
              </w:rPr>
              <w:t>措施较具体、较齐全、较合理，得2.4-3.2分</w:t>
            </w:r>
          </w:p>
        </w:tc>
      </w:tr>
      <w:tr w14:paraId="2D4E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D439C6E">
            <w:pPr>
              <w:snapToGrid w:val="0"/>
              <w:ind w:right="113"/>
              <w:jc w:val="center"/>
              <w:rPr>
                <w:rFonts w:hint="eastAsia" w:cs="宋体"/>
                <w:bCs/>
                <w:color w:val="000000"/>
                <w:sz w:val="24"/>
              </w:rPr>
            </w:pPr>
          </w:p>
        </w:tc>
        <w:tc>
          <w:tcPr>
            <w:tcW w:w="958" w:type="dxa"/>
            <w:vMerge w:val="continue"/>
            <w:vAlign w:val="center"/>
          </w:tcPr>
          <w:p w14:paraId="65D4F56F">
            <w:pPr>
              <w:snapToGrid w:val="0"/>
              <w:ind w:left="28"/>
              <w:jc w:val="center"/>
              <w:rPr>
                <w:rFonts w:hint="eastAsia" w:cs="宋体"/>
                <w:bCs/>
                <w:color w:val="000000"/>
                <w:sz w:val="24"/>
              </w:rPr>
            </w:pPr>
          </w:p>
        </w:tc>
        <w:tc>
          <w:tcPr>
            <w:tcW w:w="927" w:type="dxa"/>
            <w:vMerge w:val="continue"/>
            <w:vAlign w:val="center"/>
          </w:tcPr>
          <w:p w14:paraId="35D89C7C">
            <w:pPr>
              <w:snapToGrid w:val="0"/>
              <w:ind w:right="113"/>
              <w:jc w:val="center"/>
              <w:rPr>
                <w:rFonts w:hint="eastAsia" w:cs="宋体"/>
                <w:bCs/>
                <w:color w:val="000000"/>
                <w:sz w:val="24"/>
              </w:rPr>
            </w:pPr>
          </w:p>
        </w:tc>
        <w:tc>
          <w:tcPr>
            <w:tcW w:w="1353" w:type="dxa"/>
            <w:vMerge w:val="continue"/>
          </w:tcPr>
          <w:p w14:paraId="51F80FDF">
            <w:pPr>
              <w:snapToGrid w:val="0"/>
              <w:ind w:right="113"/>
              <w:jc w:val="center"/>
              <w:rPr>
                <w:rFonts w:hint="eastAsia" w:cs="宋体"/>
                <w:color w:val="000000"/>
                <w:kern w:val="0"/>
                <w:sz w:val="24"/>
                <w:lang w:val="zh-CN"/>
              </w:rPr>
            </w:pPr>
          </w:p>
        </w:tc>
        <w:tc>
          <w:tcPr>
            <w:tcW w:w="675" w:type="dxa"/>
            <w:vMerge w:val="continue"/>
            <w:vAlign w:val="center"/>
          </w:tcPr>
          <w:p w14:paraId="3485BB26">
            <w:pPr>
              <w:snapToGrid w:val="0"/>
              <w:ind w:right="113"/>
              <w:jc w:val="center"/>
              <w:rPr>
                <w:rFonts w:hint="eastAsia" w:cs="宋体"/>
                <w:color w:val="000000"/>
                <w:kern w:val="0"/>
                <w:sz w:val="24"/>
                <w:lang w:val="zh-CN"/>
              </w:rPr>
            </w:pPr>
          </w:p>
        </w:tc>
        <w:tc>
          <w:tcPr>
            <w:tcW w:w="4788" w:type="dxa"/>
            <w:vAlign w:val="center"/>
          </w:tcPr>
          <w:p w14:paraId="0969722E">
            <w:pPr>
              <w:spacing w:line="320" w:lineRule="exact"/>
              <w:ind w:firstLine="105"/>
              <w:rPr>
                <w:rFonts w:hint="eastAsia"/>
                <w:color w:val="000000"/>
                <w:sz w:val="24"/>
              </w:rPr>
            </w:pPr>
            <w:r>
              <w:rPr>
                <w:rFonts w:hint="eastAsia"/>
                <w:color w:val="000000"/>
                <w:sz w:val="24"/>
              </w:rPr>
              <w:t>措施基本具体、基本齐全、基本合理，得2.4分</w:t>
            </w:r>
          </w:p>
        </w:tc>
      </w:tr>
      <w:tr w14:paraId="247E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2637EBC8">
            <w:pPr>
              <w:snapToGrid w:val="0"/>
              <w:ind w:right="113"/>
              <w:jc w:val="center"/>
              <w:rPr>
                <w:rFonts w:hint="eastAsia" w:cs="宋体"/>
                <w:bCs/>
                <w:color w:val="000000"/>
                <w:sz w:val="24"/>
              </w:rPr>
            </w:pPr>
          </w:p>
        </w:tc>
        <w:tc>
          <w:tcPr>
            <w:tcW w:w="958" w:type="dxa"/>
            <w:vMerge w:val="continue"/>
            <w:vAlign w:val="center"/>
          </w:tcPr>
          <w:p w14:paraId="4A5D21E9">
            <w:pPr>
              <w:snapToGrid w:val="0"/>
              <w:ind w:left="28"/>
              <w:jc w:val="center"/>
              <w:rPr>
                <w:rFonts w:hint="eastAsia" w:cs="宋体"/>
                <w:bCs/>
                <w:color w:val="000000"/>
                <w:sz w:val="24"/>
              </w:rPr>
            </w:pPr>
          </w:p>
        </w:tc>
        <w:tc>
          <w:tcPr>
            <w:tcW w:w="927" w:type="dxa"/>
            <w:vMerge w:val="continue"/>
            <w:vAlign w:val="center"/>
          </w:tcPr>
          <w:p w14:paraId="71EAC1B5">
            <w:pPr>
              <w:snapToGrid w:val="0"/>
              <w:ind w:right="113"/>
              <w:jc w:val="center"/>
              <w:rPr>
                <w:rFonts w:hint="eastAsia" w:cs="宋体"/>
                <w:bCs/>
                <w:color w:val="000000"/>
                <w:sz w:val="24"/>
              </w:rPr>
            </w:pPr>
          </w:p>
        </w:tc>
        <w:tc>
          <w:tcPr>
            <w:tcW w:w="1353" w:type="dxa"/>
            <w:vMerge w:val="restart"/>
            <w:vAlign w:val="center"/>
          </w:tcPr>
          <w:p w14:paraId="56162354">
            <w:pPr>
              <w:snapToGrid w:val="0"/>
              <w:ind w:right="113"/>
              <w:jc w:val="center"/>
              <w:rPr>
                <w:rFonts w:hint="eastAsia" w:cs="宋体"/>
                <w:color w:val="000000"/>
                <w:kern w:val="0"/>
                <w:sz w:val="24"/>
                <w:lang w:val="zh-CN"/>
              </w:rPr>
            </w:pPr>
            <w:r>
              <w:rPr>
                <w:rFonts w:hint="eastAsia"/>
                <w:color w:val="000000"/>
                <w:sz w:val="24"/>
              </w:rPr>
              <w:t>项目风险预测与防范，事故应急预案</w:t>
            </w:r>
          </w:p>
        </w:tc>
        <w:tc>
          <w:tcPr>
            <w:tcW w:w="675" w:type="dxa"/>
            <w:vMerge w:val="restart"/>
            <w:vAlign w:val="center"/>
          </w:tcPr>
          <w:p w14:paraId="2A5640FB">
            <w:pPr>
              <w:snapToGrid w:val="0"/>
              <w:ind w:right="113"/>
              <w:jc w:val="center"/>
              <w:rPr>
                <w:rFonts w:hint="eastAsia" w:cs="宋体"/>
                <w:color w:val="000000"/>
                <w:kern w:val="0"/>
                <w:sz w:val="24"/>
                <w:lang w:val="zh-CN"/>
              </w:rPr>
            </w:pPr>
            <w:r>
              <w:rPr>
                <w:rFonts w:hint="eastAsia"/>
                <w:color w:val="000000"/>
                <w:sz w:val="24"/>
              </w:rPr>
              <w:t>3分</w:t>
            </w:r>
          </w:p>
        </w:tc>
        <w:tc>
          <w:tcPr>
            <w:tcW w:w="4788" w:type="dxa"/>
            <w:vAlign w:val="center"/>
          </w:tcPr>
          <w:p w14:paraId="4A07B380">
            <w:pPr>
              <w:spacing w:line="320" w:lineRule="exact"/>
              <w:ind w:firstLine="105"/>
              <w:rPr>
                <w:rFonts w:hint="eastAsia"/>
                <w:color w:val="000000"/>
                <w:sz w:val="24"/>
              </w:rPr>
            </w:pPr>
            <w:r>
              <w:rPr>
                <w:rFonts w:hint="eastAsia"/>
                <w:color w:val="000000"/>
                <w:sz w:val="24"/>
              </w:rPr>
              <w:t>内容齐全，合理，操作性强，得</w:t>
            </w:r>
            <w:r>
              <w:rPr>
                <w:color w:val="000000"/>
                <w:sz w:val="24"/>
              </w:rPr>
              <w:t>2</w:t>
            </w:r>
            <w:r>
              <w:rPr>
                <w:rFonts w:hint="eastAsia"/>
                <w:color w:val="000000"/>
                <w:sz w:val="24"/>
              </w:rPr>
              <w:t>.</w:t>
            </w:r>
            <w:r>
              <w:rPr>
                <w:color w:val="000000"/>
                <w:sz w:val="24"/>
              </w:rPr>
              <w:t>4</w:t>
            </w:r>
            <w:r>
              <w:rPr>
                <w:rFonts w:hint="eastAsia"/>
                <w:color w:val="000000"/>
                <w:sz w:val="24"/>
              </w:rPr>
              <w:t>－</w:t>
            </w:r>
            <w:r>
              <w:rPr>
                <w:color w:val="000000"/>
                <w:sz w:val="24"/>
              </w:rPr>
              <w:t>3</w:t>
            </w:r>
            <w:r>
              <w:rPr>
                <w:rFonts w:hint="eastAsia"/>
                <w:color w:val="000000"/>
                <w:sz w:val="24"/>
              </w:rPr>
              <w:t>.0分</w:t>
            </w:r>
          </w:p>
        </w:tc>
      </w:tr>
      <w:tr w14:paraId="6159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148F3DBA">
            <w:pPr>
              <w:snapToGrid w:val="0"/>
              <w:ind w:right="113"/>
              <w:jc w:val="center"/>
              <w:rPr>
                <w:rFonts w:hint="eastAsia" w:cs="宋体"/>
                <w:bCs/>
                <w:color w:val="000000"/>
                <w:sz w:val="24"/>
              </w:rPr>
            </w:pPr>
          </w:p>
        </w:tc>
        <w:tc>
          <w:tcPr>
            <w:tcW w:w="958" w:type="dxa"/>
            <w:vMerge w:val="continue"/>
            <w:vAlign w:val="center"/>
          </w:tcPr>
          <w:p w14:paraId="563FC530">
            <w:pPr>
              <w:snapToGrid w:val="0"/>
              <w:ind w:left="28"/>
              <w:jc w:val="center"/>
              <w:rPr>
                <w:rFonts w:hint="eastAsia" w:cs="宋体"/>
                <w:bCs/>
                <w:color w:val="000000"/>
                <w:sz w:val="24"/>
              </w:rPr>
            </w:pPr>
          </w:p>
        </w:tc>
        <w:tc>
          <w:tcPr>
            <w:tcW w:w="927" w:type="dxa"/>
            <w:vMerge w:val="continue"/>
            <w:vAlign w:val="center"/>
          </w:tcPr>
          <w:p w14:paraId="677C9A40">
            <w:pPr>
              <w:snapToGrid w:val="0"/>
              <w:ind w:right="113"/>
              <w:jc w:val="center"/>
              <w:rPr>
                <w:rFonts w:hint="eastAsia" w:cs="宋体"/>
                <w:bCs/>
                <w:color w:val="000000"/>
                <w:sz w:val="24"/>
              </w:rPr>
            </w:pPr>
          </w:p>
        </w:tc>
        <w:tc>
          <w:tcPr>
            <w:tcW w:w="1353" w:type="dxa"/>
            <w:vMerge w:val="continue"/>
            <w:vAlign w:val="center"/>
          </w:tcPr>
          <w:p w14:paraId="323684F5">
            <w:pPr>
              <w:snapToGrid w:val="0"/>
              <w:ind w:right="113"/>
              <w:jc w:val="center"/>
              <w:rPr>
                <w:rFonts w:hint="eastAsia" w:cs="宋体"/>
                <w:color w:val="000000"/>
                <w:kern w:val="0"/>
                <w:sz w:val="24"/>
                <w:lang w:val="zh-CN"/>
              </w:rPr>
            </w:pPr>
          </w:p>
        </w:tc>
        <w:tc>
          <w:tcPr>
            <w:tcW w:w="675" w:type="dxa"/>
            <w:vMerge w:val="continue"/>
            <w:vAlign w:val="center"/>
          </w:tcPr>
          <w:p w14:paraId="70978092">
            <w:pPr>
              <w:snapToGrid w:val="0"/>
              <w:ind w:right="113"/>
              <w:jc w:val="center"/>
              <w:rPr>
                <w:rFonts w:hint="eastAsia" w:cs="宋体"/>
                <w:color w:val="000000"/>
                <w:kern w:val="0"/>
                <w:sz w:val="24"/>
                <w:lang w:val="zh-CN"/>
              </w:rPr>
            </w:pPr>
          </w:p>
        </w:tc>
        <w:tc>
          <w:tcPr>
            <w:tcW w:w="4788" w:type="dxa"/>
            <w:vAlign w:val="center"/>
          </w:tcPr>
          <w:p w14:paraId="7F2C4B82">
            <w:pPr>
              <w:spacing w:line="320" w:lineRule="exact"/>
              <w:ind w:firstLine="105"/>
              <w:rPr>
                <w:rFonts w:hint="eastAsia"/>
                <w:color w:val="000000"/>
                <w:sz w:val="24"/>
              </w:rPr>
            </w:pPr>
            <w:r>
              <w:rPr>
                <w:rFonts w:hint="eastAsia"/>
                <w:color w:val="000000"/>
                <w:sz w:val="24"/>
              </w:rPr>
              <w:t>内容较具体、较齐全，操作性较强，得</w:t>
            </w:r>
            <w:r>
              <w:rPr>
                <w:color w:val="000000"/>
                <w:sz w:val="24"/>
              </w:rPr>
              <w:t>1</w:t>
            </w:r>
            <w:r>
              <w:rPr>
                <w:rFonts w:hint="eastAsia"/>
                <w:color w:val="000000"/>
                <w:sz w:val="24"/>
              </w:rPr>
              <w:t>.</w:t>
            </w:r>
            <w:r>
              <w:rPr>
                <w:color w:val="000000"/>
                <w:sz w:val="24"/>
              </w:rPr>
              <w:t>8</w:t>
            </w:r>
            <w:r>
              <w:rPr>
                <w:rFonts w:hint="eastAsia"/>
                <w:color w:val="000000"/>
                <w:sz w:val="24"/>
              </w:rPr>
              <w:t>-</w:t>
            </w:r>
            <w:r>
              <w:rPr>
                <w:color w:val="000000"/>
                <w:sz w:val="24"/>
              </w:rPr>
              <w:t>2</w:t>
            </w:r>
            <w:r>
              <w:rPr>
                <w:rFonts w:hint="eastAsia"/>
                <w:color w:val="000000"/>
                <w:sz w:val="24"/>
              </w:rPr>
              <w:t>.</w:t>
            </w:r>
            <w:r>
              <w:rPr>
                <w:color w:val="000000"/>
                <w:sz w:val="24"/>
              </w:rPr>
              <w:t>4</w:t>
            </w:r>
            <w:r>
              <w:rPr>
                <w:rFonts w:hint="eastAsia"/>
                <w:color w:val="000000"/>
                <w:sz w:val="24"/>
              </w:rPr>
              <w:t>分</w:t>
            </w:r>
          </w:p>
        </w:tc>
      </w:tr>
      <w:tr w14:paraId="5876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4AF89835">
            <w:pPr>
              <w:snapToGrid w:val="0"/>
              <w:ind w:right="113"/>
              <w:jc w:val="center"/>
              <w:rPr>
                <w:rFonts w:hint="eastAsia" w:cs="宋体"/>
                <w:bCs/>
                <w:color w:val="000000"/>
                <w:sz w:val="24"/>
              </w:rPr>
            </w:pPr>
          </w:p>
        </w:tc>
        <w:tc>
          <w:tcPr>
            <w:tcW w:w="958" w:type="dxa"/>
            <w:vMerge w:val="continue"/>
            <w:vAlign w:val="center"/>
          </w:tcPr>
          <w:p w14:paraId="3DF400C5">
            <w:pPr>
              <w:snapToGrid w:val="0"/>
              <w:ind w:left="28"/>
              <w:jc w:val="center"/>
              <w:rPr>
                <w:rFonts w:hint="eastAsia" w:cs="宋体"/>
                <w:bCs/>
                <w:color w:val="000000"/>
                <w:sz w:val="24"/>
              </w:rPr>
            </w:pPr>
          </w:p>
        </w:tc>
        <w:tc>
          <w:tcPr>
            <w:tcW w:w="927" w:type="dxa"/>
            <w:vMerge w:val="continue"/>
            <w:vAlign w:val="center"/>
          </w:tcPr>
          <w:p w14:paraId="54CE6566">
            <w:pPr>
              <w:snapToGrid w:val="0"/>
              <w:ind w:right="113"/>
              <w:jc w:val="center"/>
              <w:rPr>
                <w:rFonts w:hint="eastAsia" w:cs="宋体"/>
                <w:bCs/>
                <w:color w:val="000000"/>
                <w:sz w:val="24"/>
              </w:rPr>
            </w:pPr>
          </w:p>
        </w:tc>
        <w:tc>
          <w:tcPr>
            <w:tcW w:w="1353" w:type="dxa"/>
            <w:vMerge w:val="continue"/>
            <w:vAlign w:val="center"/>
          </w:tcPr>
          <w:p w14:paraId="0D14E01C">
            <w:pPr>
              <w:snapToGrid w:val="0"/>
              <w:ind w:right="113"/>
              <w:jc w:val="center"/>
              <w:rPr>
                <w:rFonts w:hint="eastAsia" w:cs="宋体"/>
                <w:color w:val="000000"/>
                <w:kern w:val="0"/>
                <w:sz w:val="24"/>
                <w:lang w:val="zh-CN"/>
              </w:rPr>
            </w:pPr>
          </w:p>
        </w:tc>
        <w:tc>
          <w:tcPr>
            <w:tcW w:w="675" w:type="dxa"/>
            <w:vMerge w:val="continue"/>
            <w:vAlign w:val="center"/>
          </w:tcPr>
          <w:p w14:paraId="74E654C8">
            <w:pPr>
              <w:snapToGrid w:val="0"/>
              <w:ind w:right="113"/>
              <w:jc w:val="center"/>
              <w:rPr>
                <w:rFonts w:hint="eastAsia" w:cs="宋体"/>
                <w:color w:val="000000"/>
                <w:kern w:val="0"/>
                <w:sz w:val="24"/>
                <w:lang w:val="zh-CN"/>
              </w:rPr>
            </w:pPr>
          </w:p>
        </w:tc>
        <w:tc>
          <w:tcPr>
            <w:tcW w:w="4788" w:type="dxa"/>
            <w:vAlign w:val="center"/>
          </w:tcPr>
          <w:p w14:paraId="434F68DA">
            <w:pPr>
              <w:spacing w:line="320" w:lineRule="exact"/>
              <w:ind w:firstLine="105"/>
              <w:rPr>
                <w:rFonts w:hint="eastAsia"/>
                <w:color w:val="000000"/>
                <w:sz w:val="24"/>
              </w:rPr>
            </w:pPr>
            <w:r>
              <w:rPr>
                <w:rFonts w:hint="eastAsia"/>
                <w:color w:val="000000"/>
                <w:sz w:val="24"/>
              </w:rPr>
              <w:t>内容基本具体、基本齐全，操作性一般，得</w:t>
            </w:r>
            <w:r>
              <w:rPr>
                <w:color w:val="000000"/>
                <w:sz w:val="24"/>
              </w:rPr>
              <w:t>1</w:t>
            </w:r>
            <w:r>
              <w:rPr>
                <w:rFonts w:hint="eastAsia"/>
                <w:color w:val="000000"/>
                <w:sz w:val="24"/>
              </w:rPr>
              <w:t>.</w:t>
            </w:r>
            <w:r>
              <w:rPr>
                <w:color w:val="000000"/>
                <w:sz w:val="24"/>
              </w:rPr>
              <w:t>8</w:t>
            </w:r>
            <w:r>
              <w:rPr>
                <w:rFonts w:hint="eastAsia"/>
                <w:color w:val="000000"/>
                <w:sz w:val="24"/>
              </w:rPr>
              <w:t>分</w:t>
            </w:r>
          </w:p>
        </w:tc>
      </w:tr>
      <w:tr w14:paraId="77FA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4F1F90CD">
            <w:pPr>
              <w:snapToGrid w:val="0"/>
              <w:ind w:right="113"/>
              <w:jc w:val="center"/>
              <w:rPr>
                <w:rFonts w:hint="eastAsia" w:cs="宋体"/>
                <w:bCs/>
                <w:color w:val="000000"/>
                <w:sz w:val="24"/>
              </w:rPr>
            </w:pPr>
          </w:p>
        </w:tc>
        <w:tc>
          <w:tcPr>
            <w:tcW w:w="958" w:type="dxa"/>
            <w:vMerge w:val="continue"/>
            <w:vAlign w:val="center"/>
          </w:tcPr>
          <w:p w14:paraId="0902E5C3">
            <w:pPr>
              <w:snapToGrid w:val="0"/>
              <w:ind w:left="28"/>
              <w:jc w:val="center"/>
              <w:rPr>
                <w:rFonts w:hint="eastAsia" w:cs="宋体"/>
                <w:bCs/>
                <w:color w:val="000000"/>
                <w:sz w:val="24"/>
              </w:rPr>
            </w:pPr>
          </w:p>
        </w:tc>
        <w:tc>
          <w:tcPr>
            <w:tcW w:w="927" w:type="dxa"/>
            <w:vMerge w:val="continue"/>
            <w:vAlign w:val="center"/>
          </w:tcPr>
          <w:p w14:paraId="4F3522C9">
            <w:pPr>
              <w:snapToGrid w:val="0"/>
              <w:ind w:right="113"/>
              <w:jc w:val="center"/>
              <w:rPr>
                <w:rFonts w:hint="eastAsia" w:cs="宋体"/>
                <w:bCs/>
                <w:color w:val="000000"/>
                <w:sz w:val="24"/>
              </w:rPr>
            </w:pPr>
          </w:p>
        </w:tc>
        <w:tc>
          <w:tcPr>
            <w:tcW w:w="1353" w:type="dxa"/>
            <w:vMerge w:val="restart"/>
            <w:vAlign w:val="center"/>
          </w:tcPr>
          <w:p w14:paraId="448454A8">
            <w:pPr>
              <w:snapToGrid w:val="0"/>
              <w:ind w:right="113"/>
              <w:jc w:val="center"/>
              <w:rPr>
                <w:rFonts w:hint="eastAsia" w:cs="宋体"/>
                <w:color w:val="000000"/>
                <w:kern w:val="0"/>
                <w:sz w:val="24"/>
                <w:lang w:val="zh-CN"/>
              </w:rPr>
            </w:pPr>
            <w:r>
              <w:rPr>
                <w:rFonts w:hint="eastAsia"/>
                <w:color w:val="000000"/>
                <w:sz w:val="24"/>
              </w:rPr>
              <w:t>交通组织方案</w:t>
            </w:r>
          </w:p>
        </w:tc>
        <w:tc>
          <w:tcPr>
            <w:tcW w:w="675" w:type="dxa"/>
            <w:vMerge w:val="restart"/>
            <w:vAlign w:val="center"/>
          </w:tcPr>
          <w:p w14:paraId="23B0907E">
            <w:pPr>
              <w:snapToGrid w:val="0"/>
              <w:ind w:right="113"/>
              <w:jc w:val="center"/>
              <w:rPr>
                <w:rFonts w:hint="eastAsia" w:cs="宋体"/>
                <w:color w:val="000000"/>
                <w:kern w:val="0"/>
                <w:sz w:val="24"/>
                <w:lang w:val="zh-CN"/>
              </w:rPr>
            </w:pPr>
            <w:r>
              <w:rPr>
                <w:rFonts w:hint="eastAsia"/>
                <w:color w:val="000000"/>
                <w:sz w:val="24"/>
              </w:rPr>
              <w:t>5分</w:t>
            </w:r>
          </w:p>
        </w:tc>
        <w:tc>
          <w:tcPr>
            <w:tcW w:w="4788" w:type="dxa"/>
            <w:vAlign w:val="center"/>
          </w:tcPr>
          <w:p w14:paraId="47A3F4FC">
            <w:pPr>
              <w:spacing w:line="320" w:lineRule="exact"/>
              <w:ind w:firstLine="105"/>
              <w:rPr>
                <w:rFonts w:hint="eastAsia"/>
                <w:color w:val="000000"/>
                <w:sz w:val="24"/>
              </w:rPr>
            </w:pPr>
            <w:r>
              <w:rPr>
                <w:rFonts w:hint="eastAsia"/>
                <w:color w:val="000000"/>
                <w:sz w:val="24"/>
              </w:rPr>
              <w:t>措施完善，科学合理，实施性强，得4.0－5.0分</w:t>
            </w:r>
          </w:p>
        </w:tc>
      </w:tr>
      <w:tr w14:paraId="0405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5646A929">
            <w:pPr>
              <w:snapToGrid w:val="0"/>
              <w:ind w:right="113"/>
              <w:jc w:val="center"/>
              <w:rPr>
                <w:rFonts w:hint="eastAsia" w:cs="宋体"/>
                <w:bCs/>
                <w:color w:val="000000"/>
                <w:sz w:val="24"/>
              </w:rPr>
            </w:pPr>
          </w:p>
        </w:tc>
        <w:tc>
          <w:tcPr>
            <w:tcW w:w="958" w:type="dxa"/>
            <w:vMerge w:val="continue"/>
            <w:vAlign w:val="center"/>
          </w:tcPr>
          <w:p w14:paraId="6FD48081">
            <w:pPr>
              <w:snapToGrid w:val="0"/>
              <w:ind w:left="28"/>
              <w:jc w:val="center"/>
              <w:rPr>
                <w:rFonts w:hint="eastAsia" w:cs="宋体"/>
                <w:bCs/>
                <w:color w:val="000000"/>
                <w:sz w:val="24"/>
              </w:rPr>
            </w:pPr>
          </w:p>
        </w:tc>
        <w:tc>
          <w:tcPr>
            <w:tcW w:w="927" w:type="dxa"/>
            <w:vMerge w:val="continue"/>
            <w:vAlign w:val="center"/>
          </w:tcPr>
          <w:p w14:paraId="4652C34F">
            <w:pPr>
              <w:snapToGrid w:val="0"/>
              <w:ind w:right="113"/>
              <w:jc w:val="center"/>
              <w:rPr>
                <w:rFonts w:hint="eastAsia" w:cs="宋体"/>
                <w:bCs/>
                <w:color w:val="000000"/>
                <w:sz w:val="24"/>
              </w:rPr>
            </w:pPr>
          </w:p>
        </w:tc>
        <w:tc>
          <w:tcPr>
            <w:tcW w:w="1353" w:type="dxa"/>
            <w:vMerge w:val="continue"/>
            <w:vAlign w:val="center"/>
          </w:tcPr>
          <w:p w14:paraId="701B7DA5">
            <w:pPr>
              <w:snapToGrid w:val="0"/>
              <w:ind w:right="113"/>
              <w:jc w:val="center"/>
              <w:rPr>
                <w:rFonts w:hint="eastAsia" w:cs="宋体"/>
                <w:color w:val="000000"/>
                <w:kern w:val="0"/>
                <w:sz w:val="24"/>
                <w:lang w:val="zh-CN"/>
              </w:rPr>
            </w:pPr>
          </w:p>
        </w:tc>
        <w:tc>
          <w:tcPr>
            <w:tcW w:w="675" w:type="dxa"/>
            <w:vMerge w:val="continue"/>
            <w:vAlign w:val="center"/>
          </w:tcPr>
          <w:p w14:paraId="69B01BE0">
            <w:pPr>
              <w:snapToGrid w:val="0"/>
              <w:ind w:right="113"/>
              <w:jc w:val="center"/>
              <w:rPr>
                <w:rFonts w:hint="eastAsia" w:cs="宋体"/>
                <w:color w:val="000000"/>
                <w:kern w:val="0"/>
                <w:sz w:val="24"/>
                <w:lang w:val="zh-CN"/>
              </w:rPr>
            </w:pPr>
          </w:p>
        </w:tc>
        <w:tc>
          <w:tcPr>
            <w:tcW w:w="4788" w:type="dxa"/>
            <w:vAlign w:val="center"/>
          </w:tcPr>
          <w:p w14:paraId="242A40CF">
            <w:pPr>
              <w:spacing w:line="320" w:lineRule="exact"/>
              <w:ind w:firstLine="105"/>
              <w:rPr>
                <w:rFonts w:hint="eastAsia"/>
                <w:color w:val="000000"/>
                <w:sz w:val="24"/>
              </w:rPr>
            </w:pPr>
            <w:r>
              <w:rPr>
                <w:rFonts w:hint="eastAsia"/>
                <w:color w:val="000000"/>
                <w:sz w:val="24"/>
              </w:rPr>
              <w:t>措施较完善，较合理，实施性较强，得3.0-4.0分</w:t>
            </w:r>
          </w:p>
        </w:tc>
      </w:tr>
      <w:tr w14:paraId="7052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5234436F">
            <w:pPr>
              <w:snapToGrid w:val="0"/>
              <w:ind w:right="113"/>
              <w:jc w:val="center"/>
              <w:rPr>
                <w:rFonts w:hint="eastAsia" w:cs="宋体"/>
                <w:bCs/>
                <w:color w:val="000000"/>
                <w:sz w:val="24"/>
              </w:rPr>
            </w:pPr>
          </w:p>
        </w:tc>
        <w:tc>
          <w:tcPr>
            <w:tcW w:w="958" w:type="dxa"/>
            <w:vMerge w:val="continue"/>
            <w:vAlign w:val="center"/>
          </w:tcPr>
          <w:p w14:paraId="3A0BE885">
            <w:pPr>
              <w:snapToGrid w:val="0"/>
              <w:ind w:left="28"/>
              <w:jc w:val="center"/>
              <w:rPr>
                <w:rFonts w:hint="eastAsia" w:cs="宋体"/>
                <w:bCs/>
                <w:color w:val="000000"/>
                <w:sz w:val="24"/>
              </w:rPr>
            </w:pPr>
          </w:p>
        </w:tc>
        <w:tc>
          <w:tcPr>
            <w:tcW w:w="927" w:type="dxa"/>
            <w:vMerge w:val="continue"/>
            <w:vAlign w:val="center"/>
          </w:tcPr>
          <w:p w14:paraId="75E3FF12">
            <w:pPr>
              <w:snapToGrid w:val="0"/>
              <w:ind w:right="113"/>
              <w:jc w:val="center"/>
              <w:rPr>
                <w:rFonts w:hint="eastAsia" w:cs="宋体"/>
                <w:bCs/>
                <w:color w:val="000000"/>
                <w:sz w:val="24"/>
              </w:rPr>
            </w:pPr>
          </w:p>
        </w:tc>
        <w:tc>
          <w:tcPr>
            <w:tcW w:w="1353" w:type="dxa"/>
            <w:vMerge w:val="continue"/>
            <w:vAlign w:val="center"/>
          </w:tcPr>
          <w:p w14:paraId="46BD3DB0">
            <w:pPr>
              <w:snapToGrid w:val="0"/>
              <w:ind w:right="113"/>
              <w:jc w:val="center"/>
              <w:rPr>
                <w:rFonts w:hint="eastAsia" w:cs="宋体"/>
                <w:color w:val="000000"/>
                <w:kern w:val="0"/>
                <w:sz w:val="24"/>
                <w:lang w:val="zh-CN"/>
              </w:rPr>
            </w:pPr>
          </w:p>
        </w:tc>
        <w:tc>
          <w:tcPr>
            <w:tcW w:w="675" w:type="dxa"/>
            <w:vMerge w:val="continue"/>
            <w:vAlign w:val="center"/>
          </w:tcPr>
          <w:p w14:paraId="64F4755B">
            <w:pPr>
              <w:snapToGrid w:val="0"/>
              <w:ind w:right="113"/>
              <w:jc w:val="center"/>
              <w:rPr>
                <w:rFonts w:hint="eastAsia" w:cs="宋体"/>
                <w:color w:val="000000"/>
                <w:kern w:val="0"/>
                <w:sz w:val="24"/>
                <w:lang w:val="zh-CN"/>
              </w:rPr>
            </w:pPr>
          </w:p>
        </w:tc>
        <w:tc>
          <w:tcPr>
            <w:tcW w:w="4788" w:type="dxa"/>
            <w:vAlign w:val="center"/>
          </w:tcPr>
          <w:p w14:paraId="11471DE5">
            <w:pPr>
              <w:spacing w:line="320" w:lineRule="exact"/>
              <w:ind w:firstLine="105"/>
              <w:rPr>
                <w:rFonts w:hint="eastAsia"/>
                <w:color w:val="000000"/>
                <w:sz w:val="24"/>
              </w:rPr>
            </w:pPr>
            <w:r>
              <w:rPr>
                <w:rFonts w:hint="eastAsia"/>
                <w:color w:val="000000"/>
                <w:sz w:val="24"/>
              </w:rPr>
              <w:t>措施基本完善，基本合理，实施性一般，得3分</w:t>
            </w:r>
          </w:p>
        </w:tc>
      </w:tr>
      <w:tr w14:paraId="62F8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39" w:type="dxa"/>
            <w:vMerge w:val="restart"/>
            <w:vAlign w:val="center"/>
          </w:tcPr>
          <w:p w14:paraId="2C1153C6">
            <w:pPr>
              <w:ind w:right="113"/>
              <w:jc w:val="center"/>
              <w:rPr>
                <w:rFonts w:hint="eastAsia"/>
                <w:color w:val="000000"/>
                <w:sz w:val="24"/>
              </w:rPr>
            </w:pPr>
            <w:r>
              <w:rPr>
                <w:rFonts w:hint="eastAsia" w:cs="宋体"/>
                <w:color w:val="000000"/>
                <w:sz w:val="24"/>
              </w:rPr>
              <w:t>2.2.2（2）</w:t>
            </w:r>
          </w:p>
        </w:tc>
        <w:tc>
          <w:tcPr>
            <w:tcW w:w="958" w:type="dxa"/>
            <w:vMerge w:val="restart"/>
            <w:vAlign w:val="center"/>
          </w:tcPr>
          <w:p w14:paraId="2FC7A7AD">
            <w:pPr>
              <w:ind w:right="113"/>
              <w:jc w:val="center"/>
              <w:rPr>
                <w:rFonts w:hint="eastAsia"/>
                <w:color w:val="000000"/>
                <w:sz w:val="24"/>
              </w:rPr>
            </w:pPr>
            <w:r>
              <w:rPr>
                <w:rFonts w:hint="eastAsia" w:cs="宋体"/>
                <w:color w:val="000000"/>
                <w:sz w:val="24"/>
              </w:rPr>
              <w:t>主要人员</w:t>
            </w:r>
          </w:p>
        </w:tc>
        <w:tc>
          <w:tcPr>
            <w:tcW w:w="927" w:type="dxa"/>
            <w:vMerge w:val="restart"/>
            <w:vAlign w:val="center"/>
          </w:tcPr>
          <w:p w14:paraId="19785C09">
            <w:pPr>
              <w:ind w:left="113" w:right="113" w:firstLine="105"/>
              <w:rPr>
                <w:rFonts w:hint="eastAsia"/>
                <w:color w:val="000000"/>
                <w:sz w:val="24"/>
              </w:rPr>
            </w:pPr>
            <w:r>
              <w:rPr>
                <w:rFonts w:hint="eastAsia" w:cs="宋体"/>
                <w:color w:val="000000"/>
                <w:sz w:val="24"/>
              </w:rPr>
              <w:t>30分</w:t>
            </w:r>
          </w:p>
        </w:tc>
        <w:tc>
          <w:tcPr>
            <w:tcW w:w="1353" w:type="dxa"/>
            <w:vAlign w:val="center"/>
          </w:tcPr>
          <w:p w14:paraId="396F83FC">
            <w:pPr>
              <w:ind w:right="113"/>
              <w:jc w:val="center"/>
              <w:rPr>
                <w:rFonts w:hint="eastAsia"/>
                <w:color w:val="000000"/>
                <w:sz w:val="24"/>
              </w:rPr>
            </w:pPr>
            <w:r>
              <w:rPr>
                <w:rFonts w:hint="eastAsia" w:cs="宋体"/>
                <w:color w:val="000000"/>
                <w:sz w:val="24"/>
              </w:rPr>
              <w:t>项目经理</w:t>
            </w:r>
          </w:p>
        </w:tc>
        <w:tc>
          <w:tcPr>
            <w:tcW w:w="675" w:type="dxa"/>
            <w:vAlign w:val="center"/>
          </w:tcPr>
          <w:p w14:paraId="062735AA">
            <w:pPr>
              <w:ind w:right="113"/>
              <w:jc w:val="center"/>
              <w:rPr>
                <w:rFonts w:hint="eastAsia" w:cs="宋体"/>
                <w:color w:val="000000"/>
                <w:sz w:val="24"/>
              </w:rPr>
            </w:pPr>
            <w:r>
              <w:rPr>
                <w:rFonts w:hint="eastAsia" w:cs="宋体"/>
                <w:color w:val="000000"/>
                <w:sz w:val="24"/>
              </w:rPr>
              <w:t>15分</w:t>
            </w:r>
          </w:p>
        </w:tc>
        <w:tc>
          <w:tcPr>
            <w:tcW w:w="4788" w:type="dxa"/>
            <w:vAlign w:val="center"/>
          </w:tcPr>
          <w:p w14:paraId="29426971">
            <w:pPr>
              <w:spacing w:line="320" w:lineRule="exact"/>
              <w:ind w:firstLine="105"/>
              <w:rPr>
                <w:rFonts w:hint="eastAsia"/>
                <w:sz w:val="24"/>
              </w:rPr>
            </w:pPr>
            <w:r>
              <w:rPr>
                <w:rFonts w:hint="eastAsia"/>
                <w:sz w:val="24"/>
              </w:rPr>
              <w:t>满足资格审查条件（项目经理和项目总工最低要求），得9分；</w:t>
            </w:r>
          </w:p>
          <w:p w14:paraId="73D3CDBE">
            <w:pPr>
              <w:spacing w:line="320" w:lineRule="exact"/>
              <w:rPr>
                <w:rFonts w:hint="eastAsia"/>
                <w:sz w:val="24"/>
              </w:rPr>
            </w:pPr>
            <w:r>
              <w:rPr>
                <w:color w:val="000000"/>
                <w:kern w:val="0"/>
                <w:sz w:val="24"/>
              </w:rPr>
              <w:t>近5年（202</w:t>
            </w:r>
            <w:r>
              <w:rPr>
                <w:rFonts w:hint="eastAsia"/>
                <w:color w:val="000000"/>
                <w:kern w:val="0"/>
                <w:sz w:val="24"/>
              </w:rPr>
              <w:t>1</w:t>
            </w:r>
            <w:r>
              <w:rPr>
                <w:color w:val="000000"/>
                <w:kern w:val="0"/>
                <w:sz w:val="24"/>
              </w:rPr>
              <w:t>年4月1日至今，以工程交工或一阶段竣（交）工日期为准）</w:t>
            </w:r>
            <w:r>
              <w:rPr>
                <w:rFonts w:hint="eastAsia"/>
                <w:sz w:val="24"/>
              </w:rPr>
              <w:t>每增加</w:t>
            </w:r>
            <w:r>
              <w:rPr>
                <w:color w:val="000000"/>
                <w:sz w:val="24"/>
              </w:rPr>
              <w:t>1项</w:t>
            </w:r>
            <w:r>
              <w:rPr>
                <w:rFonts w:hint="eastAsia"/>
                <w:color w:val="000000"/>
                <w:sz w:val="24"/>
              </w:rPr>
              <w:t>合同金额不少于3000万元的高速公路养护工程（含路基或路面）</w:t>
            </w:r>
            <w:r>
              <w:rPr>
                <w:color w:val="000000"/>
                <w:sz w:val="24"/>
              </w:rPr>
              <w:t>施工</w:t>
            </w:r>
            <w:r>
              <w:rPr>
                <w:color w:val="000000"/>
                <w:kern w:val="0"/>
                <w:sz w:val="24"/>
              </w:rPr>
              <w:t>项目</w:t>
            </w:r>
            <w:r>
              <w:rPr>
                <w:rFonts w:hint="eastAsia"/>
                <w:sz w:val="24"/>
              </w:rPr>
              <w:t>的</w:t>
            </w:r>
            <w:r>
              <w:rPr>
                <w:color w:val="000000"/>
                <w:kern w:val="0"/>
                <w:sz w:val="24"/>
              </w:rPr>
              <w:t>项目经理（或项目副经理或项目总工）</w:t>
            </w:r>
            <w:r>
              <w:rPr>
                <w:rFonts w:hint="eastAsia"/>
                <w:sz w:val="24"/>
              </w:rPr>
              <w:t>业绩加6分，</w:t>
            </w:r>
            <w:r>
              <w:rPr>
                <w:sz w:val="24"/>
              </w:rPr>
              <w:t xml:space="preserve"> </w:t>
            </w:r>
          </w:p>
          <w:p w14:paraId="1F88ECFC">
            <w:pPr>
              <w:spacing w:line="320" w:lineRule="exact"/>
              <w:rPr>
                <w:rFonts w:hint="eastAsia"/>
                <w:color w:val="000000"/>
                <w:sz w:val="24"/>
              </w:rPr>
            </w:pPr>
            <w:r>
              <w:rPr>
                <w:rFonts w:hint="eastAsia"/>
                <w:sz w:val="24"/>
              </w:rPr>
              <w:t>本项最高加6分。</w:t>
            </w:r>
          </w:p>
        </w:tc>
      </w:tr>
      <w:tr w14:paraId="60DF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39" w:type="dxa"/>
            <w:vMerge w:val="continue"/>
            <w:vAlign w:val="center"/>
          </w:tcPr>
          <w:p w14:paraId="673779EF">
            <w:pPr>
              <w:snapToGrid w:val="0"/>
              <w:ind w:right="113"/>
              <w:jc w:val="center"/>
              <w:rPr>
                <w:rFonts w:hint="eastAsia" w:cs="宋体"/>
                <w:color w:val="000000"/>
                <w:kern w:val="0"/>
                <w:sz w:val="24"/>
                <w:lang w:val="zh-CN"/>
              </w:rPr>
            </w:pPr>
          </w:p>
        </w:tc>
        <w:tc>
          <w:tcPr>
            <w:tcW w:w="958" w:type="dxa"/>
            <w:vMerge w:val="continue"/>
            <w:vAlign w:val="center"/>
          </w:tcPr>
          <w:p w14:paraId="564DC26E">
            <w:pPr>
              <w:snapToGrid w:val="0"/>
              <w:ind w:right="113"/>
              <w:jc w:val="center"/>
              <w:rPr>
                <w:rFonts w:hint="eastAsia" w:cs="宋体"/>
                <w:color w:val="000000"/>
                <w:kern w:val="0"/>
                <w:sz w:val="24"/>
                <w:lang w:val="zh-CN"/>
              </w:rPr>
            </w:pPr>
          </w:p>
        </w:tc>
        <w:tc>
          <w:tcPr>
            <w:tcW w:w="927" w:type="dxa"/>
            <w:vMerge w:val="continue"/>
            <w:vAlign w:val="center"/>
          </w:tcPr>
          <w:p w14:paraId="0028D26D">
            <w:pPr>
              <w:snapToGrid w:val="0"/>
              <w:ind w:left="113" w:right="113" w:firstLine="105"/>
              <w:rPr>
                <w:rFonts w:hint="eastAsia" w:cs="宋体"/>
                <w:color w:val="000000"/>
                <w:kern w:val="0"/>
                <w:sz w:val="24"/>
                <w:lang w:val="zh-CN"/>
              </w:rPr>
            </w:pPr>
          </w:p>
        </w:tc>
        <w:tc>
          <w:tcPr>
            <w:tcW w:w="1353" w:type="dxa"/>
            <w:vAlign w:val="center"/>
          </w:tcPr>
          <w:p w14:paraId="391D589E">
            <w:pPr>
              <w:snapToGrid w:val="0"/>
              <w:ind w:right="113"/>
              <w:jc w:val="center"/>
              <w:rPr>
                <w:rFonts w:hint="eastAsia" w:cs="宋体"/>
                <w:color w:val="000000"/>
                <w:sz w:val="24"/>
              </w:rPr>
            </w:pPr>
            <w:r>
              <w:rPr>
                <w:rFonts w:hint="eastAsia" w:cs="宋体"/>
                <w:color w:val="000000"/>
                <w:sz w:val="24"/>
              </w:rPr>
              <w:t>项目总工</w:t>
            </w:r>
          </w:p>
        </w:tc>
        <w:tc>
          <w:tcPr>
            <w:tcW w:w="675" w:type="dxa"/>
            <w:vAlign w:val="center"/>
          </w:tcPr>
          <w:p w14:paraId="35DD8802">
            <w:pPr>
              <w:ind w:right="113"/>
              <w:jc w:val="center"/>
              <w:rPr>
                <w:rFonts w:hint="eastAsia" w:cs="宋体"/>
                <w:color w:val="000000"/>
                <w:sz w:val="24"/>
              </w:rPr>
            </w:pPr>
            <w:r>
              <w:rPr>
                <w:rFonts w:hint="eastAsia" w:cs="宋体"/>
                <w:color w:val="000000"/>
                <w:sz w:val="24"/>
              </w:rPr>
              <w:t>15分</w:t>
            </w:r>
          </w:p>
        </w:tc>
        <w:tc>
          <w:tcPr>
            <w:tcW w:w="4788" w:type="dxa"/>
            <w:vAlign w:val="center"/>
          </w:tcPr>
          <w:p w14:paraId="0EB77817">
            <w:pPr>
              <w:spacing w:line="320" w:lineRule="exact"/>
              <w:ind w:firstLine="105"/>
              <w:rPr>
                <w:rFonts w:hint="eastAsia"/>
                <w:sz w:val="24"/>
              </w:rPr>
            </w:pPr>
            <w:r>
              <w:rPr>
                <w:rFonts w:hint="eastAsia"/>
                <w:sz w:val="24"/>
              </w:rPr>
              <w:t>满足资格审查条件（项目经理和项目总工最低要求），得9分；</w:t>
            </w:r>
          </w:p>
          <w:p w14:paraId="2F86C926">
            <w:pPr>
              <w:spacing w:line="320" w:lineRule="exact"/>
              <w:ind w:firstLine="105"/>
              <w:rPr>
                <w:rFonts w:hint="eastAsia"/>
                <w:color w:val="000000"/>
                <w:sz w:val="24"/>
              </w:rPr>
            </w:pPr>
            <w:r>
              <w:rPr>
                <w:color w:val="000000"/>
                <w:kern w:val="0"/>
                <w:sz w:val="24"/>
              </w:rPr>
              <w:t>近5年（202</w:t>
            </w:r>
            <w:r>
              <w:rPr>
                <w:rFonts w:hint="eastAsia"/>
                <w:color w:val="000000"/>
                <w:kern w:val="0"/>
                <w:sz w:val="24"/>
              </w:rPr>
              <w:t>1</w:t>
            </w:r>
            <w:r>
              <w:rPr>
                <w:color w:val="000000"/>
                <w:kern w:val="0"/>
                <w:sz w:val="24"/>
              </w:rPr>
              <w:t>年4月1日至今，以工程交工或一阶段竣（交）工日期为准）</w:t>
            </w:r>
            <w:r>
              <w:rPr>
                <w:rFonts w:hint="eastAsia"/>
                <w:sz w:val="24"/>
              </w:rPr>
              <w:t>每增加1项</w:t>
            </w:r>
            <w:r>
              <w:rPr>
                <w:rFonts w:hint="eastAsia"/>
                <w:color w:val="000000"/>
                <w:sz w:val="24"/>
              </w:rPr>
              <w:t>合同金额不少于3000万元的高速公路养护工程（含路基或路面）</w:t>
            </w:r>
            <w:r>
              <w:rPr>
                <w:color w:val="000000"/>
                <w:sz w:val="24"/>
              </w:rPr>
              <w:t>施工</w:t>
            </w:r>
            <w:r>
              <w:rPr>
                <w:color w:val="000000"/>
                <w:kern w:val="0"/>
                <w:sz w:val="24"/>
              </w:rPr>
              <w:t>项目的</w:t>
            </w:r>
            <w:r>
              <w:rPr>
                <w:color w:val="000000"/>
                <w:sz w:val="24"/>
              </w:rPr>
              <w:t>项目总工（或项目副总工）</w:t>
            </w:r>
            <w:r>
              <w:rPr>
                <w:rFonts w:hint="eastAsia"/>
                <w:sz w:val="24"/>
              </w:rPr>
              <w:t>业绩加6分，本项最高加6分。</w:t>
            </w:r>
          </w:p>
        </w:tc>
      </w:tr>
      <w:tr w14:paraId="4E33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839" w:type="dxa"/>
            <w:vAlign w:val="center"/>
          </w:tcPr>
          <w:p w14:paraId="77394F99">
            <w:pPr>
              <w:ind w:right="113"/>
              <w:jc w:val="center"/>
              <w:rPr>
                <w:rFonts w:hint="eastAsia" w:cs="宋体"/>
                <w:color w:val="000000"/>
                <w:kern w:val="0"/>
                <w:sz w:val="24"/>
                <w:lang w:val="zh-CN"/>
              </w:rPr>
            </w:pPr>
            <w:r>
              <w:rPr>
                <w:rFonts w:hint="eastAsia" w:cs="宋体"/>
                <w:color w:val="000000"/>
                <w:sz w:val="24"/>
              </w:rPr>
              <w:t>2.2.2（3）</w:t>
            </w:r>
          </w:p>
        </w:tc>
        <w:tc>
          <w:tcPr>
            <w:tcW w:w="958" w:type="dxa"/>
            <w:vAlign w:val="center"/>
          </w:tcPr>
          <w:p w14:paraId="6CAFA760">
            <w:pPr>
              <w:ind w:left="113" w:right="113"/>
              <w:jc w:val="center"/>
              <w:rPr>
                <w:rFonts w:hint="eastAsia" w:cs="宋体"/>
                <w:color w:val="000000"/>
                <w:kern w:val="0"/>
                <w:sz w:val="24"/>
                <w:lang w:val="zh-CN"/>
              </w:rPr>
            </w:pPr>
            <w:r>
              <w:rPr>
                <w:rFonts w:hint="eastAsia" w:cs="宋体"/>
                <w:color w:val="000000"/>
                <w:sz w:val="24"/>
              </w:rPr>
              <w:t>其他因素</w:t>
            </w:r>
          </w:p>
        </w:tc>
        <w:tc>
          <w:tcPr>
            <w:tcW w:w="927" w:type="dxa"/>
            <w:vAlign w:val="center"/>
          </w:tcPr>
          <w:p w14:paraId="29B50563">
            <w:pPr>
              <w:ind w:left="113" w:right="113" w:firstLine="105"/>
              <w:rPr>
                <w:rFonts w:hint="eastAsia" w:cs="宋体"/>
                <w:color w:val="000000"/>
                <w:sz w:val="24"/>
              </w:rPr>
            </w:pPr>
            <w:r>
              <w:rPr>
                <w:rFonts w:hint="eastAsia" w:cs="宋体"/>
                <w:color w:val="000000"/>
                <w:sz w:val="24"/>
              </w:rPr>
              <w:t>30分</w:t>
            </w:r>
          </w:p>
        </w:tc>
        <w:tc>
          <w:tcPr>
            <w:tcW w:w="1353" w:type="dxa"/>
            <w:vAlign w:val="center"/>
          </w:tcPr>
          <w:p w14:paraId="209C7604">
            <w:pPr>
              <w:ind w:right="113"/>
              <w:jc w:val="center"/>
              <w:rPr>
                <w:rFonts w:hint="eastAsia" w:cs="宋体"/>
                <w:color w:val="000000"/>
                <w:sz w:val="24"/>
              </w:rPr>
            </w:pPr>
            <w:r>
              <w:rPr>
                <w:rFonts w:hint="eastAsia" w:cs="宋体"/>
                <w:color w:val="000000"/>
                <w:kern w:val="0"/>
                <w:sz w:val="24"/>
                <w:lang w:val="zh-CN"/>
              </w:rPr>
              <w:t>企业业绩</w:t>
            </w:r>
          </w:p>
        </w:tc>
        <w:tc>
          <w:tcPr>
            <w:tcW w:w="675" w:type="dxa"/>
            <w:vAlign w:val="center"/>
          </w:tcPr>
          <w:p w14:paraId="2D684322">
            <w:pPr>
              <w:ind w:right="113"/>
              <w:jc w:val="center"/>
              <w:rPr>
                <w:rFonts w:hint="eastAsia" w:cs="宋体"/>
                <w:color w:val="000000"/>
                <w:sz w:val="24"/>
              </w:rPr>
            </w:pPr>
            <w:r>
              <w:rPr>
                <w:rFonts w:hint="eastAsia" w:cs="宋体"/>
                <w:color w:val="000000"/>
                <w:sz w:val="24"/>
              </w:rPr>
              <w:t>30分</w:t>
            </w:r>
          </w:p>
        </w:tc>
        <w:tc>
          <w:tcPr>
            <w:tcW w:w="4788" w:type="dxa"/>
            <w:vAlign w:val="center"/>
          </w:tcPr>
          <w:p w14:paraId="13E4345D">
            <w:pPr>
              <w:spacing w:line="320" w:lineRule="exact"/>
              <w:ind w:firstLine="105"/>
              <w:rPr>
                <w:rFonts w:hint="eastAsia"/>
                <w:sz w:val="24"/>
              </w:rPr>
            </w:pPr>
            <w:r>
              <w:rPr>
                <w:rFonts w:hint="eastAsia"/>
                <w:sz w:val="24"/>
              </w:rPr>
              <w:t>满足资格审查条件（业绩最低要求），得18分；</w:t>
            </w:r>
          </w:p>
          <w:p w14:paraId="34B9926D">
            <w:pPr>
              <w:spacing w:line="320" w:lineRule="exact"/>
              <w:rPr>
                <w:rFonts w:hint="eastAsia"/>
                <w:color w:val="000000"/>
                <w:sz w:val="24"/>
              </w:rPr>
            </w:pPr>
            <w:r>
              <w:rPr>
                <w:rFonts w:hint="eastAsia"/>
                <w:color w:val="000000"/>
                <w:sz w:val="24"/>
              </w:rPr>
              <w:t>近</w:t>
            </w:r>
            <w:r>
              <w:rPr>
                <w:color w:val="000000"/>
                <w:sz w:val="24"/>
              </w:rPr>
              <w:t>5年内（202</w:t>
            </w:r>
            <w:r>
              <w:rPr>
                <w:rFonts w:hint="eastAsia"/>
                <w:color w:val="000000"/>
                <w:sz w:val="24"/>
              </w:rPr>
              <w:t>1</w:t>
            </w:r>
            <w:r>
              <w:rPr>
                <w:color w:val="000000"/>
                <w:sz w:val="24"/>
              </w:rPr>
              <w:t>年</w:t>
            </w:r>
            <w:r>
              <w:rPr>
                <w:rFonts w:hint="eastAsia"/>
                <w:color w:val="000000"/>
                <w:sz w:val="24"/>
              </w:rPr>
              <w:t>4月1日</w:t>
            </w:r>
            <w:r>
              <w:rPr>
                <w:color w:val="000000"/>
                <w:sz w:val="24"/>
              </w:rPr>
              <w:t>至今，</w:t>
            </w:r>
            <w:r>
              <w:rPr>
                <w:rFonts w:hint="eastAsia"/>
                <w:color w:val="000000"/>
                <w:sz w:val="24"/>
              </w:rPr>
              <w:t>以工程交工或一阶段竣（交）工日期为准</w:t>
            </w:r>
            <w:r>
              <w:rPr>
                <w:color w:val="000000"/>
                <w:sz w:val="24"/>
              </w:rPr>
              <w:t>）</w:t>
            </w:r>
            <w:r>
              <w:rPr>
                <w:rFonts w:hint="eastAsia"/>
                <w:sz w:val="24"/>
              </w:rPr>
              <w:t>每增加</w:t>
            </w:r>
            <w:r>
              <w:rPr>
                <w:color w:val="000000"/>
                <w:sz w:val="24"/>
              </w:rPr>
              <w:t>1项合同额不少于</w:t>
            </w:r>
            <w:r>
              <w:rPr>
                <w:rFonts w:hint="eastAsia"/>
                <w:color w:val="000000"/>
                <w:sz w:val="24"/>
              </w:rPr>
              <w:t>3000</w:t>
            </w:r>
            <w:r>
              <w:rPr>
                <w:color w:val="000000"/>
                <w:sz w:val="24"/>
              </w:rPr>
              <w:t>万元的</w:t>
            </w:r>
            <w:r>
              <w:rPr>
                <w:rFonts w:hint="eastAsia"/>
                <w:color w:val="000000"/>
                <w:sz w:val="24"/>
              </w:rPr>
              <w:t>高速公路养护工程（含路基或路面）</w:t>
            </w:r>
            <w:r>
              <w:rPr>
                <w:color w:val="000000"/>
                <w:sz w:val="24"/>
              </w:rPr>
              <w:t>施工</w:t>
            </w:r>
            <w:r>
              <w:rPr>
                <w:rFonts w:hint="eastAsia"/>
                <w:color w:val="000000"/>
                <w:sz w:val="24"/>
              </w:rPr>
              <w:t>业绩</w:t>
            </w:r>
            <w:r>
              <w:rPr>
                <w:rFonts w:hint="eastAsia"/>
                <w:sz w:val="24"/>
              </w:rPr>
              <w:t>加12分，本项最高加12分。</w:t>
            </w:r>
          </w:p>
        </w:tc>
      </w:tr>
      <w:tr w14:paraId="5B1C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9540" w:type="dxa"/>
            <w:gridSpan w:val="6"/>
            <w:vAlign w:val="center"/>
          </w:tcPr>
          <w:p w14:paraId="1D54D931">
            <w:pPr>
              <w:autoSpaceDE w:val="0"/>
              <w:rPr>
                <w:rFonts w:hint="eastAsia"/>
                <w:color w:val="000000"/>
                <w:sz w:val="24"/>
              </w:rPr>
            </w:pPr>
            <w:r>
              <w:rPr>
                <w:rFonts w:hint="eastAsia" w:cs="宋体"/>
                <w:color w:val="000000"/>
                <w:sz w:val="24"/>
              </w:rPr>
              <w:t>需要补充的其他内容：无</w:t>
            </w:r>
          </w:p>
        </w:tc>
      </w:tr>
    </w:tbl>
    <w:p w14:paraId="7EB50B60">
      <w:pPr>
        <w:rPr>
          <w:rFonts w:hint="eastAsia" w:cs="Courier New"/>
          <w:szCs w:val="21"/>
        </w:rPr>
      </w:pPr>
      <w:r>
        <w:rPr>
          <w:rFonts w:hint="eastAsia" w:cs="Courier New"/>
          <w:szCs w:val="21"/>
        </w:rPr>
        <w:t>注：1、</w:t>
      </w:r>
      <w:r>
        <w:rPr>
          <w:rFonts w:hint="eastAsia"/>
          <w:color w:val="000000"/>
        </w:rPr>
        <w:t>各评分因素得分一般不得低于其权重分值的60%，且各评分因素得分应以评标委员会各成员的打分平均值确定。评标委员会成员对某一项评分因素的评分低于权重分值60%的，应在评标报告中作出说明</w:t>
      </w:r>
      <w:r>
        <w:rPr>
          <w:rFonts w:hint="eastAsia" w:cs="Courier New"/>
          <w:szCs w:val="21"/>
        </w:rPr>
        <w:t>。</w:t>
      </w:r>
    </w:p>
    <w:p w14:paraId="02825319">
      <w:pPr>
        <w:adjustRightInd w:val="0"/>
        <w:snapToGrid w:val="0"/>
        <w:ind w:firstLine="420" w:firstLineChars="200"/>
        <w:jc w:val="left"/>
        <w:rPr>
          <w:rFonts w:hint="eastAsia"/>
          <w:color w:val="000000"/>
          <w:szCs w:val="21"/>
        </w:rPr>
      </w:pPr>
      <w:r>
        <w:rPr>
          <w:rFonts w:hint="eastAsia"/>
        </w:rPr>
        <w:t>2、</w:t>
      </w:r>
      <w:r>
        <w:rPr>
          <w:rFonts w:hint="eastAsia" w:cs="宋体"/>
          <w:color w:val="000000"/>
          <w:szCs w:val="21"/>
        </w:rPr>
        <w:t>施工组织设计</w:t>
      </w:r>
      <w:r>
        <w:rPr>
          <w:rFonts w:hint="eastAsia"/>
        </w:rPr>
        <w:t>各</w:t>
      </w:r>
      <w:r>
        <w:rPr>
          <w:rFonts w:hint="eastAsia"/>
          <w:szCs w:val="21"/>
        </w:rPr>
        <w:t>评分因素</w:t>
      </w:r>
      <w:r>
        <w:rPr>
          <w:rFonts w:hint="eastAsia"/>
        </w:rPr>
        <w:t>缺项</w:t>
      </w:r>
      <w:r>
        <w:t>，则该项得</w:t>
      </w:r>
      <w:r>
        <w:rPr>
          <w:rFonts w:hint="eastAsia"/>
        </w:rPr>
        <w:t>0分</w:t>
      </w:r>
      <w:r>
        <w:t>。</w:t>
      </w:r>
    </w:p>
    <w:bookmarkEnd w:id="3"/>
    <w:bookmarkEnd w:id="4"/>
    <w:bookmarkEnd w:id="20"/>
    <w:p w14:paraId="02590386">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6B"/>
    <w:rsid w:val="00421C20"/>
    <w:rsid w:val="00443E59"/>
    <w:rsid w:val="005E1DED"/>
    <w:rsid w:val="007F30F3"/>
    <w:rsid w:val="0084722A"/>
    <w:rsid w:val="00A15049"/>
    <w:rsid w:val="00A37D4A"/>
    <w:rsid w:val="00BC576B"/>
    <w:rsid w:val="00D6438C"/>
    <w:rsid w:val="00D72941"/>
    <w:rsid w:val="00E5296D"/>
    <w:rsid w:val="13773FFC"/>
    <w:rsid w:val="6D4D5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宋体" w:hAnsi="宋体" w:eastAsia="宋体" w:cs="Times New Roman"/>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rFonts w:ascii="宋体" w:hAnsi="宋体" w:eastAsia="宋体" w:cs="Times New Roman"/>
      <w:sz w:val="18"/>
      <w:szCs w:val="18"/>
      <w14:ligatures w14:val="none"/>
    </w:rPr>
  </w:style>
  <w:style w:type="character" w:customStyle="1" w:styleId="36">
    <w:name w:val="页脚 字符"/>
    <w:basedOn w:val="16"/>
    <w:link w:val="11"/>
    <w:uiPriority w:val="99"/>
    <w:rPr>
      <w:rFonts w:ascii="宋体" w:hAnsi="宋体" w:eastAsia="宋体" w:cs="Times New Roman"/>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10796</Words>
  <Characters>11875</Characters>
  <Lines>446</Lines>
  <Paragraphs>327</Paragraphs>
  <TotalTime>0</TotalTime>
  <ScaleCrop>false</ScaleCrop>
  <LinksUpToDate>false</LinksUpToDate>
  <CharactersWithSpaces>12048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2026-04-02T06:52:00Z</dcterms:created>
  <dc:creator>黎 唐</dc:creator>
  <cp:lastModifiedBy>智</cp:lastModifiedBy>
  <dcterms:modified xsi:type="dcterms:W3CDTF">2026-04-03T06:52:25Z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8D9A8184668A4DDE9EB1702629403461_13</vt:lpwstr>
  </property>
  <property fmtid="{D5CDD505-2E9C-101B-9397-08002B2CF9AE}" pid="4" name="KSOTemplateDocerSaveRecord">
    <vt:lpwstr>eyJoZGlkIjoiNjMwNzViOWJiMzdhYzg3MjYxYmJjMGFlNjFlZmNiYWYiLCJ1c2VySWQiOiIxNzM5MjYxODA0In0=</vt:lpwstr>
  </property>
</Properties>
</file>