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8336F">
      <w:pPr>
        <w:spacing w:after="0" w:line="240" w:lineRule="auto"/>
        <w:jc w:val="both"/>
        <w:rPr>
          <w:rFonts w:hint="eastAsia" w:ascii="宋体" w:hAnsi="宋体" w:eastAsia="宋体" w:cs="Times New Roman"/>
          <w:b/>
          <w:sz w:val="24"/>
          <w14:ligatures w14:val="none"/>
        </w:rPr>
      </w:pPr>
      <w:bookmarkStart w:id="0" w:name="_Toc291245120"/>
      <w:bookmarkStart w:id="1" w:name="_Toc196634300"/>
      <w:bookmarkStart w:id="2" w:name="_Toc287281815"/>
      <w:bookmarkStart w:id="3" w:name="_Toc283470620"/>
      <w:bookmarkStart w:id="4" w:name="OLE_LINK2"/>
      <w:bookmarkStart w:id="13" w:name="_GoBack"/>
      <w:bookmarkEnd w:id="13"/>
      <w:r>
        <w:rPr>
          <w:rFonts w:hint="eastAsia" w:ascii="宋体" w:hAnsi="宋体" w:eastAsia="宋体" w:cs="Times New Roman"/>
          <w:b/>
          <w:sz w:val="24"/>
          <w14:ligatures w14:val="none"/>
        </w:rPr>
        <w:t>附件</w:t>
      </w:r>
      <w:r>
        <w:rPr>
          <w:rFonts w:ascii="宋体" w:hAnsi="宋体" w:eastAsia="宋体" w:cs="Times New Roman"/>
          <w:b/>
          <w:sz w:val="24"/>
          <w14:ligatures w14:val="none"/>
        </w:rPr>
        <w:t>1</w:t>
      </w:r>
      <w:r>
        <w:rPr>
          <w:rFonts w:hint="eastAsia" w:ascii="宋体" w:hAnsi="宋体" w:eastAsia="宋体" w:cs="Times New Roman"/>
          <w:b/>
          <w:sz w:val="24"/>
          <w14:ligatures w14:val="none"/>
        </w:rPr>
        <w:t>：资格审查条件</w:t>
      </w:r>
    </w:p>
    <w:bookmarkEnd w:id="0"/>
    <w:bookmarkEnd w:id="1"/>
    <w:bookmarkEnd w:id="2"/>
    <w:bookmarkEnd w:id="3"/>
    <w:p w14:paraId="6E99D528">
      <w:pPr>
        <w:spacing w:after="0" w:line="240" w:lineRule="auto"/>
        <w:jc w:val="center"/>
        <w:outlineLvl w:val="2"/>
        <w:rPr>
          <w:rFonts w:hint="eastAsia" w:ascii="宋体" w:hAnsi="宋体" w:eastAsia="宋体" w:cs="Times New Roman"/>
          <w:b/>
          <w:sz w:val="24"/>
          <w14:ligatures w14:val="none"/>
        </w:rPr>
      </w:pPr>
      <w:bookmarkStart w:id="5" w:name="_Toc475872754"/>
    </w:p>
    <w:bookmarkEnd w:id="5"/>
    <w:p w14:paraId="1E934357">
      <w:pPr>
        <w:spacing w:after="0" w:line="240" w:lineRule="auto"/>
        <w:jc w:val="center"/>
        <w:outlineLvl w:val="2"/>
        <w:rPr>
          <w:rFonts w:ascii="宋体" w:hAnsi="宋体" w:eastAsia="宋体" w:cs="Times New Roman"/>
          <w:sz w:val="21"/>
          <w:szCs w:val="21"/>
          <w14:ligatures w14:val="none"/>
        </w:rPr>
      </w:pPr>
      <w:bookmarkStart w:id="6" w:name="_Toc37427115"/>
      <w:r>
        <w:rPr>
          <w:rFonts w:ascii="宋体" w:hAnsi="宋体" w:eastAsia="宋体" w:cs="Times New Roman"/>
          <w:b/>
          <w:sz w:val="24"/>
          <w14:ligatures w14:val="none"/>
        </w:rPr>
        <w:t>附录1</w:t>
      </w:r>
      <w:r>
        <w:rPr>
          <w:rFonts w:hint="eastAsia" w:ascii="宋体" w:hAnsi="宋体" w:eastAsia="宋体" w:cs="Times New Roman"/>
          <w:b/>
          <w:sz w:val="24"/>
          <w14:ligatures w14:val="none"/>
        </w:rPr>
        <w:t xml:space="preserve">  </w:t>
      </w:r>
      <w:r>
        <w:rPr>
          <w:rFonts w:ascii="宋体" w:hAnsi="宋体" w:eastAsia="宋体" w:cs="Times New Roman"/>
          <w:b/>
          <w:sz w:val="24"/>
          <w14:ligatures w14:val="none"/>
        </w:rPr>
        <w:t>资格审查条件</w:t>
      </w:r>
      <w:r>
        <w:rPr>
          <w:rFonts w:hint="eastAsia" w:ascii="宋体" w:hAnsi="宋体" w:eastAsia="宋体" w:cs="Times New Roman"/>
          <w:b/>
          <w:sz w:val="24"/>
          <w14:ligatures w14:val="none"/>
        </w:rPr>
        <w:t>(</w:t>
      </w:r>
      <w:r>
        <w:rPr>
          <w:rFonts w:ascii="宋体" w:hAnsi="宋体" w:eastAsia="宋体" w:cs="Times New Roman"/>
          <w:b/>
          <w:sz w:val="24"/>
          <w14:ligatures w14:val="none"/>
        </w:rPr>
        <w:t>资质最低条件</w:t>
      </w:r>
      <w:r>
        <w:rPr>
          <w:rFonts w:hint="eastAsia" w:ascii="宋体" w:hAnsi="宋体" w:eastAsia="宋体" w:cs="Times New Roman"/>
          <w:b/>
          <w:sz w:val="24"/>
          <w14:ligatures w14:val="none"/>
        </w:rPr>
        <w:t>)</w:t>
      </w:r>
      <w:bookmarkEnd w:id="6"/>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C3D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vAlign w:val="center"/>
          </w:tcPr>
          <w:p w14:paraId="128B11FC">
            <w:pPr>
              <w:spacing w:after="0" w:line="240" w:lineRule="auto"/>
              <w:jc w:val="center"/>
              <w:rPr>
                <w:rFonts w:ascii="宋体" w:hAnsi="宋体" w:eastAsia="宋体" w:cs="Times New Roman"/>
                <w:b/>
                <w:sz w:val="21"/>
                <w:szCs w:val="21"/>
                <w14:ligatures w14:val="none"/>
              </w:rPr>
            </w:pPr>
            <w:r>
              <w:rPr>
                <w:rFonts w:ascii="宋体" w:hAnsi="宋体" w:eastAsia="宋体" w:cs="Times New Roman"/>
                <w:b/>
                <w:sz w:val="21"/>
                <w:szCs w:val="21"/>
                <w14:ligatures w14:val="none"/>
              </w:rPr>
              <w:t>资质要求</w:t>
            </w:r>
          </w:p>
        </w:tc>
      </w:tr>
      <w:tr w14:paraId="047F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5000" w:type="pct"/>
            <w:vAlign w:val="center"/>
          </w:tcPr>
          <w:p w14:paraId="67D23D6C">
            <w:pPr>
              <w:spacing w:after="0" w:line="40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具有独立企业法人资格，持有有效的企业营业执照；</w:t>
            </w:r>
          </w:p>
          <w:p w14:paraId="078B4269">
            <w:pPr>
              <w:spacing w:after="0" w:line="40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具有有效的安全生产许可证。</w:t>
            </w:r>
          </w:p>
        </w:tc>
      </w:tr>
    </w:tbl>
    <w:p w14:paraId="293A10F5">
      <w:pPr>
        <w:spacing w:after="0" w:line="240" w:lineRule="auto"/>
        <w:jc w:val="center"/>
        <w:rPr>
          <w:rFonts w:ascii="宋体" w:hAnsi="宋体" w:eastAsia="宋体" w:cs="Times New Roman"/>
          <w:sz w:val="21"/>
          <w:szCs w:val="21"/>
          <w14:ligatures w14:val="none"/>
        </w:rPr>
      </w:pPr>
    </w:p>
    <w:p w14:paraId="33A95A2D">
      <w:pPr>
        <w:spacing w:after="0" w:line="240" w:lineRule="auto"/>
        <w:jc w:val="center"/>
        <w:rPr>
          <w:rFonts w:hint="eastAsia" w:ascii="宋体" w:hAnsi="宋体" w:eastAsia="宋体" w:cs="Times New Roman"/>
          <w:sz w:val="21"/>
          <w:szCs w:val="21"/>
          <w14:ligatures w14:val="none"/>
        </w:rPr>
      </w:pPr>
    </w:p>
    <w:p w14:paraId="02F53BA8">
      <w:pPr>
        <w:spacing w:after="0" w:line="240" w:lineRule="auto"/>
        <w:jc w:val="center"/>
        <w:outlineLvl w:val="2"/>
        <w:rPr>
          <w:rFonts w:ascii="宋体" w:hAnsi="宋体" w:eastAsia="宋体" w:cs="Times New Roman"/>
          <w:b/>
          <w:sz w:val="24"/>
          <w14:ligatures w14:val="none"/>
        </w:rPr>
      </w:pPr>
      <w:bookmarkStart w:id="7" w:name="_Toc37427116"/>
      <w:bookmarkStart w:id="8" w:name="_Toc475872755"/>
      <w:r>
        <w:rPr>
          <w:rFonts w:ascii="宋体" w:hAnsi="宋体" w:eastAsia="宋体" w:cs="Times New Roman"/>
          <w:b/>
          <w:sz w:val="24"/>
          <w14:ligatures w14:val="none"/>
        </w:rPr>
        <w:t>附录</w:t>
      </w:r>
      <w:r>
        <w:rPr>
          <w:rFonts w:hint="eastAsia" w:ascii="宋体" w:hAnsi="宋体" w:eastAsia="宋体" w:cs="Times New Roman"/>
          <w:b/>
          <w:sz w:val="24"/>
          <w14:ligatures w14:val="none"/>
        </w:rPr>
        <w:t xml:space="preserve">2  </w:t>
      </w:r>
      <w:r>
        <w:rPr>
          <w:rFonts w:ascii="宋体" w:hAnsi="宋体" w:eastAsia="宋体" w:cs="Times New Roman"/>
          <w:b/>
          <w:sz w:val="24"/>
          <w14:ligatures w14:val="none"/>
        </w:rPr>
        <w:t>资格审查条件</w:t>
      </w:r>
      <w:r>
        <w:rPr>
          <w:rFonts w:hint="eastAsia" w:ascii="宋体" w:hAnsi="宋体" w:eastAsia="宋体" w:cs="Times New Roman"/>
          <w:b/>
          <w:sz w:val="24"/>
          <w14:ligatures w14:val="none"/>
        </w:rPr>
        <w:t>(</w:t>
      </w:r>
      <w:r>
        <w:rPr>
          <w:rFonts w:ascii="宋体" w:hAnsi="宋体" w:eastAsia="宋体" w:cs="Times New Roman"/>
          <w:b/>
          <w:sz w:val="24"/>
          <w14:ligatures w14:val="none"/>
        </w:rPr>
        <w:t>业绩最低要求</w:t>
      </w:r>
      <w:r>
        <w:rPr>
          <w:rFonts w:hint="eastAsia" w:ascii="宋体" w:hAnsi="宋体" w:eastAsia="宋体" w:cs="Times New Roman"/>
          <w:b/>
          <w:sz w:val="24"/>
          <w14:ligatures w14:val="none"/>
        </w:rPr>
        <w:t>)</w:t>
      </w:r>
      <w:bookmarkEnd w:id="7"/>
      <w:bookmarkEnd w:id="8"/>
    </w:p>
    <w:tbl>
      <w:tblPr>
        <w:tblStyle w:val="13"/>
        <w:tblW w:w="50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0"/>
      </w:tblGrid>
      <w:tr w14:paraId="78A4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000" w:type="pct"/>
            <w:vAlign w:val="center"/>
          </w:tcPr>
          <w:p w14:paraId="14FE3E34">
            <w:pPr>
              <w:spacing w:after="0" w:line="400" w:lineRule="exact"/>
              <w:jc w:val="center"/>
              <w:rPr>
                <w:rFonts w:ascii="宋体" w:hAnsi="宋体" w:eastAsia="宋体" w:cs="Times New Roman"/>
                <w:b/>
                <w:sz w:val="21"/>
                <w:szCs w:val="21"/>
                <w14:ligatures w14:val="none"/>
              </w:rPr>
            </w:pPr>
            <w:r>
              <w:rPr>
                <w:rFonts w:ascii="宋体" w:hAnsi="宋体" w:eastAsia="宋体" w:cs="Times New Roman"/>
                <w:b/>
                <w:sz w:val="21"/>
                <w:szCs w:val="21"/>
                <w14:ligatures w14:val="none"/>
              </w:rPr>
              <w:t>业绩要求</w:t>
            </w:r>
          </w:p>
        </w:tc>
      </w:tr>
      <w:tr w14:paraId="16FE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5000" w:type="pct"/>
            <w:vAlign w:val="center"/>
          </w:tcPr>
          <w:p w14:paraId="6CA87E34">
            <w:pPr>
              <w:spacing w:after="0" w:line="400" w:lineRule="exact"/>
              <w:ind w:firstLine="420" w:firstLineChars="200"/>
              <w:jc w:val="both"/>
              <w:rPr>
                <w:rFonts w:ascii="宋体" w:hAnsi="宋体" w:eastAsia="宋体" w:cs="Times New Roman"/>
                <w:sz w:val="21"/>
                <w:szCs w:val="21"/>
                <w14:ligatures w14:val="none"/>
              </w:rPr>
            </w:pPr>
            <w:r>
              <w:rPr>
                <w:rFonts w:hint="eastAsia" w:ascii="宋体" w:hAnsi="宋体" w:eastAsia="宋体" w:cs="Times New Roman"/>
                <w:sz w:val="21"/>
                <w:szCs w:val="21"/>
                <w14:ligatures w14:val="none"/>
              </w:rPr>
              <w:t>近3年内（2023年4月1日至今，以合同签订时间为准），独立完成过一条（段）高速公路日常养护业绩（合同期不少于</w:t>
            </w:r>
            <w:r>
              <w:rPr>
                <w:rFonts w:ascii="宋体" w:hAnsi="宋体" w:eastAsia="宋体" w:cs="Times New Roman"/>
                <w:sz w:val="21"/>
                <w:szCs w:val="21"/>
                <w14:ligatures w14:val="none"/>
              </w:rPr>
              <w:t>12</w:t>
            </w:r>
            <w:r>
              <w:rPr>
                <w:rFonts w:hint="eastAsia" w:ascii="宋体" w:hAnsi="宋体" w:eastAsia="宋体" w:cs="Times New Roman"/>
                <w:sz w:val="21"/>
                <w:szCs w:val="21"/>
                <w14:ligatures w14:val="none"/>
              </w:rPr>
              <w:t>个月，养护里程不低于50公里，日常养护项目必须同时包含路基、路面、桥涵及交通安全设施工作内容）。</w:t>
            </w:r>
          </w:p>
        </w:tc>
      </w:tr>
    </w:tbl>
    <w:p w14:paraId="3A820BF9">
      <w:pPr>
        <w:spacing w:after="0" w:line="240" w:lineRule="auto"/>
        <w:jc w:val="both"/>
        <w:rPr>
          <w:rFonts w:ascii="宋体" w:hAnsi="宋体" w:eastAsia="宋体" w:cs="Times New Roman"/>
          <w:sz w:val="21"/>
          <w:szCs w:val="21"/>
          <w14:ligatures w14:val="none"/>
        </w:rPr>
      </w:pPr>
    </w:p>
    <w:p w14:paraId="2A1220FB">
      <w:pPr>
        <w:spacing w:after="0" w:line="240" w:lineRule="auto"/>
        <w:jc w:val="center"/>
        <w:outlineLvl w:val="2"/>
        <w:rPr>
          <w:rFonts w:hint="eastAsia" w:ascii="宋体" w:hAnsi="宋体" w:eastAsia="宋体" w:cs="Times New Roman"/>
          <w:b/>
          <w:sz w:val="24"/>
          <w14:ligatures w14:val="none"/>
        </w:rPr>
      </w:pPr>
    </w:p>
    <w:p w14:paraId="148808A4">
      <w:pPr>
        <w:spacing w:after="0" w:line="240" w:lineRule="auto"/>
        <w:jc w:val="center"/>
        <w:outlineLvl w:val="2"/>
        <w:rPr>
          <w:rFonts w:ascii="宋体" w:hAnsi="宋体" w:eastAsia="宋体" w:cs="Times New Roman"/>
          <w:b/>
          <w:sz w:val="24"/>
          <w14:ligatures w14:val="none"/>
        </w:rPr>
      </w:pPr>
    </w:p>
    <w:p w14:paraId="41C02BAF">
      <w:pPr>
        <w:spacing w:after="0" w:line="240" w:lineRule="auto"/>
        <w:jc w:val="center"/>
        <w:outlineLvl w:val="2"/>
        <w:rPr>
          <w:rFonts w:ascii="宋体" w:hAnsi="宋体" w:eastAsia="宋体" w:cs="Times New Roman"/>
          <w:sz w:val="24"/>
          <w14:ligatures w14:val="none"/>
        </w:rPr>
      </w:pPr>
      <w:bookmarkStart w:id="9" w:name="_Toc475872756"/>
      <w:bookmarkStart w:id="10" w:name="_Toc37427117"/>
      <w:r>
        <w:rPr>
          <w:rFonts w:ascii="宋体" w:hAnsi="宋体" w:eastAsia="宋体" w:cs="Times New Roman"/>
          <w:b/>
          <w:sz w:val="24"/>
          <w14:ligatures w14:val="none"/>
        </w:rPr>
        <w:t>附录</w:t>
      </w:r>
      <w:r>
        <w:rPr>
          <w:rFonts w:hint="eastAsia" w:ascii="宋体" w:hAnsi="宋体" w:eastAsia="宋体" w:cs="Times New Roman"/>
          <w:b/>
          <w:sz w:val="24"/>
          <w14:ligatures w14:val="none"/>
        </w:rPr>
        <w:t>3</w:t>
      </w:r>
      <w:r>
        <w:rPr>
          <w:rFonts w:ascii="宋体" w:hAnsi="宋体" w:eastAsia="宋体" w:cs="Times New Roman"/>
          <w:b/>
          <w:sz w:val="24"/>
          <w14:ligatures w14:val="none"/>
        </w:rPr>
        <w:t xml:space="preserve">  资格审查条件(信誉最低要求)</w:t>
      </w:r>
      <w:bookmarkEnd w:id="9"/>
      <w:bookmarkEnd w:id="10"/>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788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5000" w:type="pct"/>
            <w:vAlign w:val="center"/>
          </w:tcPr>
          <w:p w14:paraId="0458A395">
            <w:pPr>
              <w:spacing w:after="0" w:line="400" w:lineRule="exact"/>
              <w:jc w:val="center"/>
              <w:rPr>
                <w:rFonts w:ascii="宋体" w:hAnsi="宋体" w:eastAsia="宋体" w:cs="Times New Roman"/>
                <w:b/>
                <w:sz w:val="21"/>
                <w:szCs w:val="21"/>
                <w14:ligatures w14:val="none"/>
              </w:rPr>
            </w:pPr>
            <w:r>
              <w:rPr>
                <w:rFonts w:hint="eastAsia" w:ascii="宋体" w:hAnsi="宋体" w:eastAsia="宋体" w:cs="Times New Roman"/>
                <w:b/>
                <w:sz w:val="21"/>
                <w:szCs w:val="21"/>
                <w14:ligatures w14:val="none"/>
              </w:rPr>
              <w:t>信誉要求</w:t>
            </w:r>
          </w:p>
        </w:tc>
      </w:tr>
      <w:tr w14:paraId="2FA3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000" w:type="pct"/>
            <w:vAlign w:val="center"/>
          </w:tcPr>
          <w:p w14:paraId="1FD0FDC0">
            <w:pPr>
              <w:spacing w:after="0" w:line="340" w:lineRule="exact"/>
              <w:ind w:firstLine="420" w:firstLineChars="200"/>
              <w:jc w:val="both"/>
              <w:rPr>
                <w:rFonts w:hint="eastAsia" w:ascii="宋体" w:hAnsi="宋体" w:eastAsia="宋体" w:cs="Times New Roman"/>
                <w:sz w:val="21"/>
                <w:szCs w:val="21"/>
                <w14:ligatures w14:val="none"/>
              </w:rPr>
            </w:pPr>
            <w:r>
              <w:rPr>
                <w:rFonts w:ascii="宋体" w:hAnsi="宋体" w:eastAsia="宋体" w:cs="Times New Roman"/>
                <w:sz w:val="21"/>
                <w:szCs w:val="21"/>
                <w14:ligatures w14:val="none"/>
              </w:rPr>
              <w:t>投标人在近</w:t>
            </w:r>
            <w:r>
              <w:rPr>
                <w:rFonts w:hint="eastAsia" w:ascii="宋体" w:hAnsi="宋体" w:eastAsia="宋体" w:cs="Times New Roman"/>
                <w:sz w:val="21"/>
                <w:szCs w:val="21"/>
                <w14:ligatures w14:val="none"/>
              </w:rPr>
              <w:t>1</w:t>
            </w:r>
            <w:r>
              <w:rPr>
                <w:rFonts w:ascii="宋体" w:hAnsi="宋体" w:eastAsia="宋体" w:cs="Times New Roman"/>
                <w:sz w:val="21"/>
                <w:szCs w:val="21"/>
                <w14:ligatures w14:val="none"/>
              </w:rPr>
              <w:t>年</w:t>
            </w:r>
            <w:r>
              <w:rPr>
                <w:rFonts w:hint="eastAsia" w:ascii="宋体" w:hAnsi="宋体" w:eastAsia="宋体" w:cs="Times New Roman"/>
                <w:sz w:val="21"/>
                <w:szCs w:val="21"/>
                <w14:ligatures w14:val="none"/>
              </w:rPr>
              <w:t>（2025年4月1日至今）中不曾在高速公路养护项目合同中违约而被驱逐或因投标人自身的原因而使高速公路养护项目合同被解除。</w:t>
            </w:r>
          </w:p>
        </w:tc>
      </w:tr>
    </w:tbl>
    <w:p w14:paraId="2E600A2D">
      <w:pPr>
        <w:spacing w:after="0" w:line="240" w:lineRule="auto"/>
        <w:jc w:val="center"/>
        <w:outlineLvl w:val="2"/>
        <w:rPr>
          <w:rFonts w:hint="eastAsia" w:ascii="宋体" w:hAnsi="宋体" w:eastAsia="宋体" w:cs="Times New Roman"/>
          <w:b/>
          <w:sz w:val="24"/>
          <w14:ligatures w14:val="none"/>
        </w:rPr>
      </w:pPr>
    </w:p>
    <w:p w14:paraId="357339AA">
      <w:pPr>
        <w:spacing w:after="0" w:line="240" w:lineRule="auto"/>
        <w:jc w:val="center"/>
        <w:outlineLvl w:val="2"/>
        <w:rPr>
          <w:rFonts w:hint="eastAsia" w:ascii="宋体" w:hAnsi="宋体" w:eastAsia="宋体" w:cs="Times New Roman"/>
          <w:b/>
          <w:sz w:val="24"/>
          <w14:ligatures w14:val="none"/>
        </w:rPr>
      </w:pPr>
    </w:p>
    <w:p w14:paraId="2077F604">
      <w:pPr>
        <w:spacing w:after="0" w:line="240" w:lineRule="auto"/>
        <w:jc w:val="center"/>
        <w:outlineLvl w:val="2"/>
        <w:rPr>
          <w:rFonts w:ascii="宋体" w:hAnsi="宋体" w:eastAsia="宋体" w:cs="Times New Roman"/>
          <w:b/>
          <w:sz w:val="24"/>
          <w14:ligatures w14:val="none"/>
        </w:rPr>
      </w:pPr>
      <w:bookmarkStart w:id="11" w:name="_Toc475872757"/>
      <w:bookmarkStart w:id="12" w:name="_Toc37427118"/>
      <w:r>
        <w:rPr>
          <w:rFonts w:ascii="宋体" w:hAnsi="宋体" w:eastAsia="宋体" w:cs="Times New Roman"/>
          <w:b/>
          <w:sz w:val="24"/>
          <w14:ligatures w14:val="none"/>
        </w:rPr>
        <w:t>附录</w:t>
      </w:r>
      <w:r>
        <w:rPr>
          <w:rFonts w:hint="eastAsia" w:ascii="宋体" w:hAnsi="宋体" w:eastAsia="宋体" w:cs="Times New Roman"/>
          <w:b/>
          <w:sz w:val="24"/>
          <w14:ligatures w14:val="none"/>
        </w:rPr>
        <w:t xml:space="preserve">4  </w:t>
      </w:r>
      <w:r>
        <w:rPr>
          <w:rFonts w:ascii="宋体" w:hAnsi="宋体" w:eastAsia="宋体" w:cs="Times New Roman"/>
          <w:b/>
          <w:sz w:val="24"/>
          <w14:ligatures w14:val="none"/>
        </w:rPr>
        <w:t>资格审查条件</w:t>
      </w:r>
      <w:r>
        <w:rPr>
          <w:rFonts w:hint="eastAsia" w:ascii="宋体" w:hAnsi="宋体" w:eastAsia="宋体" w:cs="Times New Roman"/>
          <w:b/>
          <w:sz w:val="24"/>
          <w14:ligatures w14:val="none"/>
        </w:rPr>
        <w:t>(</w:t>
      </w:r>
      <w:r>
        <w:rPr>
          <w:rFonts w:ascii="宋体" w:hAnsi="宋体" w:eastAsia="宋体" w:cs="Times New Roman"/>
          <w:b/>
          <w:sz w:val="24"/>
          <w14:ligatures w14:val="none"/>
        </w:rPr>
        <w:t>项目</w:t>
      </w:r>
      <w:r>
        <w:rPr>
          <w:rFonts w:hint="eastAsia" w:ascii="宋体" w:hAnsi="宋体" w:eastAsia="宋体" w:cs="Times New Roman"/>
          <w:b/>
          <w:sz w:val="24"/>
          <w14:ligatures w14:val="none"/>
        </w:rPr>
        <w:t>负责人</w:t>
      </w:r>
      <w:r>
        <w:rPr>
          <w:rFonts w:ascii="宋体" w:hAnsi="宋体" w:eastAsia="宋体" w:cs="Times New Roman"/>
          <w:b/>
          <w:sz w:val="24"/>
          <w14:ligatures w14:val="none"/>
        </w:rPr>
        <w:t>最低要求</w:t>
      </w:r>
      <w:r>
        <w:rPr>
          <w:rFonts w:hint="eastAsia" w:ascii="宋体" w:hAnsi="宋体" w:eastAsia="宋体" w:cs="Times New Roman"/>
          <w:b/>
          <w:sz w:val="24"/>
          <w14:ligatures w14:val="none"/>
        </w:rPr>
        <w:t>)</w:t>
      </w:r>
      <w:bookmarkEnd w:id="11"/>
      <w:bookmarkEnd w:id="12"/>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868"/>
        <w:gridCol w:w="6364"/>
      </w:tblGrid>
      <w:tr w14:paraId="3998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57" w:type="pct"/>
            <w:vAlign w:val="center"/>
          </w:tcPr>
          <w:p w14:paraId="3525C754">
            <w:pPr>
              <w:spacing w:after="0" w:line="280" w:lineRule="exact"/>
              <w:jc w:val="center"/>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人员</w:t>
            </w:r>
          </w:p>
        </w:tc>
        <w:tc>
          <w:tcPr>
            <w:tcW w:w="509" w:type="pct"/>
            <w:vAlign w:val="center"/>
          </w:tcPr>
          <w:p w14:paraId="055CAD1F">
            <w:pPr>
              <w:spacing w:after="0" w:line="280" w:lineRule="exact"/>
              <w:jc w:val="center"/>
              <w:rPr>
                <w:rFonts w:ascii="宋体" w:hAnsi="宋体" w:eastAsia="宋体" w:cs="Times New Roman"/>
                <w:b/>
                <w:sz w:val="21"/>
                <w:szCs w:val="21"/>
                <w14:ligatures w14:val="none"/>
              </w:rPr>
            </w:pPr>
            <w:r>
              <w:rPr>
                <w:rFonts w:hint="eastAsia" w:ascii="宋体" w:hAnsi="宋体" w:eastAsia="宋体" w:cs="Times New Roman"/>
                <w:b/>
                <w:sz w:val="21"/>
                <w:szCs w:val="21"/>
                <w14:ligatures w14:val="none"/>
              </w:rPr>
              <w:t>数量</w:t>
            </w:r>
          </w:p>
        </w:tc>
        <w:tc>
          <w:tcPr>
            <w:tcW w:w="3734" w:type="pct"/>
            <w:vAlign w:val="center"/>
          </w:tcPr>
          <w:p w14:paraId="4F6A3C4D">
            <w:pPr>
              <w:spacing w:after="0" w:line="280" w:lineRule="exact"/>
              <w:jc w:val="center"/>
              <w:rPr>
                <w:rFonts w:ascii="宋体" w:hAnsi="宋体" w:eastAsia="宋体" w:cs="Times New Roman"/>
                <w:b/>
                <w:sz w:val="21"/>
                <w:szCs w:val="21"/>
                <w14:ligatures w14:val="none"/>
              </w:rPr>
            </w:pPr>
            <w:r>
              <w:rPr>
                <w:rFonts w:hint="eastAsia" w:ascii="宋体" w:hAnsi="宋体" w:eastAsia="宋体" w:cs="Times New Roman"/>
                <w:b/>
                <w:sz w:val="21"/>
                <w:szCs w:val="21"/>
                <w14:ligatures w14:val="none"/>
              </w:rPr>
              <w:t>资格要求</w:t>
            </w:r>
          </w:p>
        </w:tc>
      </w:tr>
      <w:tr w14:paraId="0AFB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757" w:type="pct"/>
            <w:vAlign w:val="center"/>
          </w:tcPr>
          <w:p w14:paraId="20B975DB">
            <w:pPr>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项目负责人</w:t>
            </w:r>
          </w:p>
        </w:tc>
        <w:tc>
          <w:tcPr>
            <w:tcW w:w="509" w:type="pct"/>
            <w:vAlign w:val="center"/>
          </w:tcPr>
          <w:p w14:paraId="05EB08E3">
            <w:pPr>
              <w:spacing w:after="0" w:line="240" w:lineRule="auto"/>
              <w:jc w:val="center"/>
              <w:rPr>
                <w:rFonts w:ascii="宋体" w:hAnsi="宋体" w:eastAsia="宋体" w:cs="Times New Roman"/>
                <w:sz w:val="21"/>
                <w:szCs w:val="21"/>
                <w14:ligatures w14:val="none"/>
              </w:rPr>
            </w:pPr>
            <w:r>
              <w:rPr>
                <w:rFonts w:hint="eastAsia" w:ascii="宋体" w:hAnsi="宋体" w:eastAsia="宋体" w:cs="Times New Roman"/>
                <w:sz w:val="21"/>
                <w:szCs w:val="21"/>
                <w14:ligatures w14:val="none"/>
              </w:rPr>
              <w:t>1</w:t>
            </w:r>
          </w:p>
        </w:tc>
        <w:tc>
          <w:tcPr>
            <w:tcW w:w="3734" w:type="pct"/>
            <w:vAlign w:val="center"/>
          </w:tcPr>
          <w:p w14:paraId="24C09407">
            <w:pPr>
              <w:spacing w:after="0" w:line="34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工程师及</w:t>
            </w:r>
            <w:r>
              <w:rPr>
                <w:rFonts w:ascii="宋体" w:hAnsi="宋体" w:eastAsia="宋体" w:cs="Times New Roman"/>
                <w:sz w:val="21"/>
                <w:szCs w:val="21"/>
                <w14:ligatures w14:val="none"/>
              </w:rPr>
              <w:t>以上职称</w:t>
            </w:r>
            <w:r>
              <w:rPr>
                <w:rFonts w:hint="eastAsia" w:ascii="宋体" w:hAnsi="宋体" w:eastAsia="宋体" w:cs="Times New Roman"/>
                <w:sz w:val="21"/>
                <w:szCs w:val="21"/>
                <w14:ligatures w14:val="none"/>
              </w:rPr>
              <w:t>，具有“公路工程”专业的“二级建造师注册证书”及以上证书，建造师注册证书的注册单位须与投标人单位名称一致，具有交通运输行政主管部门颁发的《安全生产考核合格证书》（B类），安全生产考核合格证书的登记单位须与投标人单位名称一致；</w:t>
            </w:r>
            <w:r>
              <w:rPr>
                <w:rFonts w:ascii="宋体" w:hAnsi="宋体" w:eastAsia="宋体" w:cs="Times New Roman"/>
                <w:sz w:val="21"/>
                <w:szCs w:val="21"/>
                <w14:ligatures w14:val="none"/>
              </w:rPr>
              <w:t>近</w:t>
            </w:r>
            <w:r>
              <w:rPr>
                <w:rFonts w:hint="eastAsia" w:ascii="宋体" w:hAnsi="宋体" w:eastAsia="宋体" w:cs="Times New Roman"/>
                <w:sz w:val="21"/>
                <w:szCs w:val="21"/>
                <w14:ligatures w14:val="none"/>
              </w:rPr>
              <w:t>3</w:t>
            </w:r>
            <w:r>
              <w:rPr>
                <w:rFonts w:ascii="宋体" w:hAnsi="宋体" w:eastAsia="宋体" w:cs="Times New Roman"/>
                <w:sz w:val="21"/>
                <w:szCs w:val="21"/>
                <w14:ligatures w14:val="none"/>
              </w:rPr>
              <w:t>年内（</w:t>
            </w:r>
            <w:r>
              <w:rPr>
                <w:rFonts w:hint="eastAsia" w:ascii="宋体" w:hAnsi="宋体" w:eastAsia="宋体" w:cs="Times New Roman"/>
                <w:sz w:val="21"/>
                <w:szCs w:val="21"/>
                <w14:ligatures w14:val="none"/>
              </w:rPr>
              <w:t>2023年4月1</w:t>
            </w:r>
            <w:r>
              <w:rPr>
                <w:rFonts w:ascii="宋体" w:hAnsi="宋体" w:eastAsia="宋体" w:cs="Times New Roman"/>
                <w:sz w:val="21"/>
                <w:szCs w:val="21"/>
                <w14:ligatures w14:val="none"/>
              </w:rPr>
              <w:t>日至今，以</w:t>
            </w:r>
            <w:r>
              <w:rPr>
                <w:rFonts w:hint="eastAsia" w:ascii="宋体" w:hAnsi="宋体" w:eastAsia="宋体" w:cs="Times New Roman"/>
                <w:sz w:val="21"/>
                <w:szCs w:val="21"/>
                <w14:ligatures w14:val="none"/>
              </w:rPr>
              <w:t>合同签订时间</w:t>
            </w:r>
            <w:r>
              <w:rPr>
                <w:rFonts w:ascii="宋体" w:hAnsi="宋体" w:eastAsia="宋体" w:cs="Times New Roman"/>
                <w:sz w:val="21"/>
                <w:szCs w:val="21"/>
                <w14:ligatures w14:val="none"/>
              </w:rPr>
              <w:t>为准）</w:t>
            </w:r>
            <w:r>
              <w:rPr>
                <w:rFonts w:hint="eastAsia" w:ascii="宋体" w:hAnsi="宋体" w:eastAsia="宋体" w:cs="Times New Roman"/>
                <w:sz w:val="21"/>
                <w:szCs w:val="21"/>
                <w14:ligatures w14:val="none"/>
              </w:rPr>
              <w:t>担任过一条（段）高速公路日常养护（合同期不少于</w:t>
            </w:r>
            <w:r>
              <w:rPr>
                <w:rFonts w:ascii="宋体" w:hAnsi="宋体" w:eastAsia="宋体" w:cs="Times New Roman"/>
                <w:sz w:val="21"/>
                <w:szCs w:val="21"/>
                <w14:ligatures w14:val="none"/>
              </w:rPr>
              <w:t>12</w:t>
            </w:r>
            <w:r>
              <w:rPr>
                <w:rFonts w:hint="eastAsia" w:ascii="宋体" w:hAnsi="宋体" w:eastAsia="宋体" w:cs="Times New Roman"/>
                <w:sz w:val="21"/>
                <w:szCs w:val="21"/>
                <w14:ligatures w14:val="none"/>
              </w:rPr>
              <w:t>个月，养护里程不低于50公里，日常养护项目必须同时包含路基、路面、桥涵及交通安全设施工作内容）的项目经理（项目负责人）或项目副经理。</w:t>
            </w:r>
          </w:p>
        </w:tc>
      </w:tr>
    </w:tbl>
    <w:p w14:paraId="733A497A">
      <w:pPr>
        <w:spacing w:after="0" w:line="240" w:lineRule="auto"/>
        <w:jc w:val="both"/>
        <w:rPr>
          <w:rFonts w:ascii="宋体" w:hAnsi="宋体" w:eastAsia="宋体" w:cs="Times New Roman"/>
          <w:sz w:val="21"/>
          <w14:ligatures w14:val="none"/>
        </w:rPr>
      </w:pPr>
    </w:p>
    <w:p w14:paraId="1E21D312">
      <w:pPr>
        <w:spacing w:after="0" w:line="240" w:lineRule="auto"/>
        <w:jc w:val="both"/>
        <w:rPr>
          <w:rFonts w:ascii="宋体" w:hAnsi="宋体" w:eastAsia="宋体" w:cs="Times New Roman"/>
          <w:b/>
          <w:sz w:val="24"/>
          <w14:ligatures w14:val="none"/>
        </w:rPr>
      </w:pPr>
      <w:r>
        <w:rPr>
          <w:rFonts w:hint="eastAsia" w:ascii="宋体" w:hAnsi="宋体" w:eastAsia="宋体" w:cs="Times New Roman"/>
          <w:sz w:val="28"/>
          <w:szCs w:val="28"/>
          <w14:ligatures w14:val="none"/>
        </w:rPr>
        <w:br w:type="page"/>
      </w:r>
      <w:r>
        <w:rPr>
          <w:rFonts w:hint="eastAsia" w:ascii="宋体" w:hAnsi="宋体" w:eastAsia="宋体" w:cs="Times New Roman"/>
          <w:b/>
          <w:sz w:val="24"/>
          <w14:ligatures w14:val="none"/>
        </w:rPr>
        <w:t>附件2：评标办法前附表</w:t>
      </w:r>
    </w:p>
    <w:tbl>
      <w:tblPr>
        <w:tblStyle w:val="13"/>
        <w:tblW w:w="50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1176"/>
        <w:gridCol w:w="1593"/>
        <w:gridCol w:w="5631"/>
      </w:tblGrid>
      <w:tr w14:paraId="652E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1648" w:type="pct"/>
            <w:gridSpan w:val="2"/>
            <w:vAlign w:val="center"/>
          </w:tcPr>
          <w:p w14:paraId="12AB15DC">
            <w:pPr>
              <w:adjustRightInd w:val="0"/>
              <w:snapToGrid w:val="0"/>
              <w:spacing w:after="0" w:line="300" w:lineRule="auto"/>
              <w:jc w:val="center"/>
              <w:rPr>
                <w:rFonts w:ascii="宋体" w:hAnsi="宋体" w:eastAsia="宋体" w:cs="Times New Roman"/>
                <w:b/>
                <w:sz w:val="21"/>
                <w:szCs w:val="21"/>
                <w14:ligatures w14:val="none"/>
              </w:rPr>
            </w:pPr>
            <w:r>
              <w:rPr>
                <w:rFonts w:hint="eastAsia" w:ascii="宋体" w:hAnsi="宋体" w:eastAsia="宋体" w:cs="Times New Roman"/>
                <w:b/>
                <w:sz w:val="21"/>
                <w:szCs w:val="21"/>
                <w14:ligatures w14:val="none"/>
              </w:rPr>
              <w:t>条款号</w:t>
            </w:r>
          </w:p>
        </w:tc>
        <w:tc>
          <w:tcPr>
            <w:tcW w:w="3352" w:type="pct"/>
            <w:vAlign w:val="center"/>
          </w:tcPr>
          <w:p w14:paraId="487254DD">
            <w:pPr>
              <w:adjustRightInd w:val="0"/>
              <w:snapToGrid w:val="0"/>
              <w:spacing w:after="0" w:line="300" w:lineRule="auto"/>
              <w:jc w:val="center"/>
              <w:rPr>
                <w:rFonts w:ascii="宋体" w:hAnsi="宋体" w:eastAsia="宋体" w:cs="Times New Roman"/>
                <w:b/>
                <w:sz w:val="21"/>
                <w:szCs w:val="21"/>
                <w14:ligatures w14:val="none"/>
              </w:rPr>
            </w:pPr>
            <w:r>
              <w:rPr>
                <w:rFonts w:hint="eastAsia" w:ascii="宋体" w:hAnsi="宋体" w:eastAsia="宋体" w:cs="Times New Roman"/>
                <w:b/>
                <w:sz w:val="21"/>
                <w:szCs w:val="21"/>
                <w14:ligatures w14:val="none"/>
              </w:rPr>
              <w:t>评审因素与标准</w:t>
            </w:r>
          </w:p>
        </w:tc>
      </w:tr>
      <w:tr w14:paraId="0D7D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700" w:type="pct"/>
            <w:vAlign w:val="center"/>
          </w:tcPr>
          <w:p w14:paraId="4528949B">
            <w:pPr>
              <w:spacing w:after="0" w:line="240" w:lineRule="auto"/>
              <w:jc w:val="center"/>
              <w:rPr>
                <w:rFonts w:ascii="宋体" w:hAnsi="宋体" w:eastAsia="宋体" w:cs="Times New Roman"/>
                <w:b/>
                <w:sz w:val="21"/>
                <w:szCs w:val="21"/>
                <w14:ligatures w14:val="none"/>
              </w:rPr>
            </w:pPr>
            <w:r>
              <w:rPr>
                <w:rFonts w:hint="eastAsia" w:ascii="宋体" w:hAnsi="宋体" w:eastAsia="宋体" w:cs="Times New Roman"/>
                <w:b/>
                <w:sz w:val="21"/>
                <w:szCs w:val="21"/>
                <w14:ligatures w14:val="none"/>
              </w:rPr>
              <w:t>1</w:t>
            </w:r>
          </w:p>
        </w:tc>
        <w:tc>
          <w:tcPr>
            <w:tcW w:w="948" w:type="pct"/>
            <w:vAlign w:val="center"/>
          </w:tcPr>
          <w:p w14:paraId="40D9D081">
            <w:pPr>
              <w:spacing w:after="0" w:line="240" w:lineRule="auto"/>
              <w:jc w:val="center"/>
              <w:rPr>
                <w:rFonts w:ascii="宋体" w:hAnsi="宋体" w:eastAsia="宋体" w:cs="Times New Roman"/>
                <w:b/>
                <w:sz w:val="21"/>
                <w14:ligatures w14:val="none"/>
              </w:rPr>
            </w:pPr>
            <w:r>
              <w:rPr>
                <w:rFonts w:hint="eastAsia" w:ascii="宋体" w:hAnsi="宋体" w:eastAsia="宋体" w:cs="Times New Roman"/>
                <w:b/>
                <w:sz w:val="21"/>
                <w:szCs w:val="21"/>
                <w14:ligatures w14:val="none"/>
              </w:rPr>
              <w:t>评标办法</w:t>
            </w:r>
          </w:p>
        </w:tc>
        <w:tc>
          <w:tcPr>
            <w:tcW w:w="3352" w:type="pct"/>
            <w:vAlign w:val="center"/>
          </w:tcPr>
          <w:p w14:paraId="7F20C8AA">
            <w:pPr>
              <w:spacing w:after="0" w:line="240" w:lineRule="auto"/>
              <w:ind w:firstLine="420" w:firstLineChars="200"/>
              <w:jc w:val="both"/>
              <w:rPr>
                <w:rFonts w:hint="eastAsia" w:ascii="宋体" w:hAnsi="宋体" w:eastAsia="宋体" w:cs="Times New Roman"/>
                <w:bCs/>
                <w:sz w:val="21"/>
                <w:szCs w:val="21"/>
                <w14:ligatures w14:val="none"/>
              </w:rPr>
            </w:pPr>
            <w:r>
              <w:rPr>
                <w:rFonts w:hint="eastAsia" w:ascii="宋体" w:hAnsi="宋体" w:eastAsia="宋体" w:cs="Times New Roman"/>
                <w:sz w:val="21"/>
                <w14:ligatures w14:val="none"/>
              </w:rPr>
              <w:t>本次评标采用综合评分法。评标委员会对满足招标文件实质性要求的投标文件，按照本章第 2.2 款规定的评分标准进行打分，并按综合得分由高到低顺序推荐1-3名中标候选人。</w:t>
            </w:r>
            <w:r>
              <w:rPr>
                <w:rFonts w:hint="eastAsia" w:ascii="宋体" w:hAnsi="宋体" w:eastAsia="宋体" w:cs="Times New Roman"/>
                <w:sz w:val="21"/>
                <w:szCs w:val="21"/>
                <w14:ligatures w14:val="none"/>
              </w:rPr>
              <w:t>综合评分相等时，评标委员会依次按照以下优先顺序推荐中标候选人</w:t>
            </w:r>
            <w:r>
              <w:rPr>
                <w:rFonts w:hint="eastAsia" w:ascii="宋体" w:hAnsi="宋体" w:eastAsia="宋体" w:cs="Times New Roman"/>
                <w:bCs/>
                <w:sz w:val="21"/>
                <w:szCs w:val="21"/>
                <w14:ligatures w14:val="none"/>
              </w:rPr>
              <w:t>：</w:t>
            </w:r>
          </w:p>
          <w:p w14:paraId="27BF1FDD">
            <w:pPr>
              <w:spacing w:after="0" w:line="240" w:lineRule="auto"/>
              <w:ind w:firstLine="210" w:firstLineChars="100"/>
              <w:jc w:val="both"/>
              <w:rPr>
                <w:rFonts w:hint="eastAsia" w:ascii="宋体" w:hAnsi="宋体" w:eastAsia="宋体" w:cs="Times New Roman"/>
                <w:bCs/>
                <w:sz w:val="21"/>
                <w:szCs w:val="21"/>
                <w14:ligatures w14:val="none"/>
              </w:rPr>
            </w:pPr>
            <w:r>
              <w:rPr>
                <w:rFonts w:hint="eastAsia" w:ascii="宋体" w:hAnsi="宋体" w:eastAsia="宋体" w:cs="Times New Roman"/>
                <w:bCs/>
                <w:sz w:val="21"/>
                <w:szCs w:val="21"/>
                <w14:ligatures w14:val="none"/>
              </w:rPr>
              <w:t>（1）评标价低的投标人优先；</w:t>
            </w:r>
          </w:p>
          <w:p w14:paraId="6A362FBC">
            <w:pPr>
              <w:spacing w:after="0" w:line="240" w:lineRule="auto"/>
              <w:ind w:firstLine="210" w:firstLineChars="100"/>
              <w:jc w:val="both"/>
              <w:rPr>
                <w:rFonts w:ascii="宋体" w:hAnsi="宋体" w:eastAsia="宋体" w:cs="Times New Roman"/>
                <w:bCs/>
                <w:sz w:val="21"/>
                <w:szCs w:val="21"/>
                <w14:ligatures w14:val="none"/>
              </w:rPr>
            </w:pPr>
            <w:r>
              <w:rPr>
                <w:rFonts w:hint="eastAsia" w:ascii="宋体" w:hAnsi="宋体" w:eastAsia="宋体" w:cs="Times New Roman"/>
                <w:bCs/>
                <w:sz w:val="21"/>
                <w:szCs w:val="21"/>
                <w14:ligatures w14:val="none"/>
              </w:rPr>
              <w:t>（2）养护实施方案得分较高的投标人优先；</w:t>
            </w:r>
          </w:p>
          <w:p w14:paraId="3BD21FF4">
            <w:pPr>
              <w:spacing w:after="0" w:line="240" w:lineRule="auto"/>
              <w:ind w:firstLine="210" w:firstLineChars="100"/>
              <w:jc w:val="both"/>
              <w:rPr>
                <w:rFonts w:hint="eastAsia" w:ascii="宋体" w:hAnsi="宋体" w:eastAsia="宋体" w:cs="Times New Roman"/>
                <w:bCs/>
                <w:sz w:val="21"/>
                <w:szCs w:val="21"/>
                <w14:ligatures w14:val="none"/>
              </w:rPr>
            </w:pPr>
            <w:r>
              <w:rPr>
                <w:rFonts w:hint="eastAsia" w:ascii="宋体" w:hAnsi="宋体" w:eastAsia="宋体" w:cs="Times New Roman"/>
                <w:bCs/>
                <w:sz w:val="21"/>
                <w:szCs w:val="21"/>
                <w14:ligatures w14:val="none"/>
              </w:rPr>
              <w:t>（3）满足资格审查条件(业绩最低条件)要求的业绩累计合同金额高的优先。</w:t>
            </w:r>
          </w:p>
          <w:p w14:paraId="0720B99F">
            <w:pPr>
              <w:spacing w:after="0" w:line="240" w:lineRule="auto"/>
              <w:ind w:firstLine="420" w:firstLineChars="200"/>
              <w:jc w:val="both"/>
              <w:rPr>
                <w:rFonts w:ascii="宋体" w:hAnsi="宋体" w:eastAsia="宋体" w:cs="Times New Roman"/>
                <w:b/>
                <w:sz w:val="21"/>
                <w:szCs w:val="21"/>
                <w14:ligatures w14:val="none"/>
              </w:rPr>
            </w:pPr>
            <w:r>
              <w:rPr>
                <w:rFonts w:hint="eastAsia" w:ascii="宋体" w:hAnsi="宋体" w:eastAsia="宋体" w:cs="Times New Roman"/>
                <w:bCs/>
                <w:sz w:val="21"/>
                <w:szCs w:val="21"/>
                <w14:ligatures w14:val="none"/>
              </w:rPr>
              <w:t>同一投标人同时在多个标段投标的，只能在其中1个标段中标。按JSYH1标段、JSYH2标段、JSYH3标段顺序评审，如投标人在JSYH1标段被推荐为第一中标候选人，后续标段评审时不再推荐为中标候选人，以此类推。</w:t>
            </w:r>
          </w:p>
        </w:tc>
      </w:tr>
      <w:tr w14:paraId="4AA2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47" w:hRule="atLeast"/>
          <w:jc w:val="center"/>
        </w:trPr>
        <w:tc>
          <w:tcPr>
            <w:tcW w:w="700" w:type="pct"/>
            <w:vAlign w:val="center"/>
          </w:tcPr>
          <w:p w14:paraId="2CE493BD">
            <w:pPr>
              <w:adjustRightInd w:val="0"/>
              <w:snapToGrid w:val="0"/>
              <w:spacing w:after="0" w:line="320" w:lineRule="exact"/>
              <w:jc w:val="center"/>
              <w:rPr>
                <w:rFonts w:ascii="宋体" w:hAnsi="宋体" w:eastAsia="宋体" w:cs="Times New Roman"/>
                <w:sz w:val="21"/>
                <w:szCs w:val="21"/>
                <w14:ligatures w14:val="none"/>
              </w:rPr>
            </w:pPr>
            <w:r>
              <w:rPr>
                <w:rFonts w:hint="eastAsia" w:ascii="宋体" w:hAnsi="宋体" w:eastAsia="宋体" w:cs="Times New Roman"/>
                <w:sz w:val="21"/>
                <w:szCs w:val="21"/>
                <w14:ligatures w14:val="none"/>
              </w:rPr>
              <w:t>2.1.1</w:t>
            </w:r>
          </w:p>
          <w:p w14:paraId="580477D9">
            <w:pPr>
              <w:adjustRightInd w:val="0"/>
              <w:snapToGrid w:val="0"/>
              <w:spacing w:after="0" w:line="320" w:lineRule="exact"/>
              <w:jc w:val="center"/>
              <w:rPr>
                <w:rFonts w:ascii="宋体" w:hAnsi="宋体" w:eastAsia="宋体" w:cs="Times New Roman"/>
                <w:sz w:val="21"/>
                <w:szCs w:val="21"/>
                <w14:ligatures w14:val="none"/>
              </w:rPr>
            </w:pPr>
            <w:r>
              <w:rPr>
                <w:rFonts w:hint="eastAsia" w:ascii="宋体" w:hAnsi="宋体" w:eastAsia="宋体" w:cs="Times New Roman"/>
                <w:sz w:val="21"/>
                <w:szCs w:val="21"/>
                <w14:ligatures w14:val="none"/>
              </w:rPr>
              <w:t>2.1.3</w:t>
            </w:r>
          </w:p>
        </w:tc>
        <w:tc>
          <w:tcPr>
            <w:tcW w:w="948" w:type="pct"/>
            <w:vAlign w:val="center"/>
          </w:tcPr>
          <w:p w14:paraId="3E76B6E5">
            <w:pPr>
              <w:adjustRightInd w:val="0"/>
              <w:snapToGrid w:val="0"/>
              <w:spacing w:after="0" w:line="320" w:lineRule="exact"/>
              <w:jc w:val="center"/>
              <w:rPr>
                <w:rFonts w:ascii="宋体" w:hAnsi="宋体" w:eastAsia="宋体" w:cs="Times New Roman"/>
                <w:sz w:val="21"/>
                <w:szCs w:val="21"/>
                <w14:ligatures w14:val="none"/>
              </w:rPr>
            </w:pPr>
            <w:r>
              <w:rPr>
                <w:rFonts w:hint="eastAsia" w:ascii="宋体" w:hAnsi="宋体" w:eastAsia="宋体" w:cs="Times New Roman"/>
                <w:sz w:val="21"/>
                <w:szCs w:val="21"/>
                <w14:ligatures w14:val="none"/>
              </w:rPr>
              <w:t>形式评审与响应性评审标准</w:t>
            </w:r>
          </w:p>
        </w:tc>
        <w:tc>
          <w:tcPr>
            <w:tcW w:w="3352" w:type="pct"/>
            <w:vAlign w:val="center"/>
          </w:tcPr>
          <w:p w14:paraId="6B533AB8">
            <w:pPr>
              <w:spacing w:after="0" w:line="240" w:lineRule="auto"/>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 xml:space="preserve">第一个信封（商务及技术文件）的评审标准： </w:t>
            </w:r>
          </w:p>
          <w:p w14:paraId="73008247">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（1）投标文件按照招标文件规定的格式、内容填写，字迹清晰可辨： </w:t>
            </w:r>
          </w:p>
          <w:p w14:paraId="7592CB1C">
            <w:pPr>
              <w:spacing w:after="0" w:line="24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a.投标函按招标文件规定填报了项目名称、标段号、补遗书编号（如有）、质量目标、安全目标、养护周期及项目负责人； </w:t>
            </w:r>
          </w:p>
          <w:p w14:paraId="1B86F1FA">
            <w:pPr>
              <w:spacing w:after="0" w:line="24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b.投标函的所有数据均符合招标文件规定； </w:t>
            </w:r>
          </w:p>
          <w:p w14:paraId="22FDC097">
            <w:pPr>
              <w:spacing w:after="0" w:line="24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c.投标文件组成齐全完整，内容均按规定填写； </w:t>
            </w:r>
          </w:p>
          <w:p w14:paraId="7BD2203E">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（2）投标文件上法定代表人或其授权代理人的签字、投标人的单位章盖章齐全，符合招标文件规定。 </w:t>
            </w:r>
          </w:p>
          <w:p w14:paraId="472BDDFD">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（3）投标人按照招标文件规定的金额、形式、时效和内容提供了投标保证金，投标保证金符合第二章投标人须知3.4.1款规定。</w:t>
            </w:r>
          </w:p>
          <w:p w14:paraId="78F0094D">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（4）投标人法定代表人授权委托代理人签署投标文件的，须提交授权委托书，授权委托书符合招标文件规定。 </w:t>
            </w:r>
          </w:p>
          <w:p w14:paraId="2BA1B95F">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（5）投标人法定代表人亲自签署投标文件的，提供了法定代表人身份证明，法定代表人身份证明符合招标文件规定。 </w:t>
            </w:r>
          </w:p>
          <w:p w14:paraId="765148A6">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（6）投标人未以联合体形式投标。 </w:t>
            </w:r>
          </w:p>
          <w:p w14:paraId="275D1206">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（7）投标人未对本项目进行分包。 </w:t>
            </w:r>
          </w:p>
          <w:p w14:paraId="388944A0">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（8）同一投标人在同一标段未同时提交两个以上不同的投标文件。 </w:t>
            </w:r>
          </w:p>
          <w:p w14:paraId="051A7CCE">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（9）投标文件第一个信封（商务及技术文件）中未出现有关投标报价的内容。 </w:t>
            </w:r>
          </w:p>
          <w:p w14:paraId="643293AC">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（10）</w:t>
            </w:r>
            <w:r>
              <w:rPr>
                <w:rFonts w:hint="eastAsia" w:ascii="宋体" w:hAnsi="宋体" w:eastAsia="宋体" w:cs="宋体"/>
                <w:sz w:val="21"/>
                <w:szCs w:val="21"/>
                <w14:ligatures w14:val="none"/>
              </w:rPr>
              <w:t>投标文件载明的招标项目完成期限，未超出招标文件规定的时限</w:t>
            </w:r>
            <w:r>
              <w:rPr>
                <w:rFonts w:hint="eastAsia" w:ascii="宋体" w:hAnsi="宋体" w:eastAsia="宋体" w:cs="Times New Roman"/>
                <w:sz w:val="21"/>
                <w:szCs w:val="21"/>
                <w14:ligatures w14:val="none"/>
              </w:rPr>
              <w:t>。</w:t>
            </w:r>
          </w:p>
          <w:p w14:paraId="0358071A">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（11）投标文件对招标文件的实质性要求和条件作出响应。</w:t>
            </w:r>
          </w:p>
          <w:p w14:paraId="63152D36">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（12）权利义务符合招标文件规定： </w:t>
            </w:r>
          </w:p>
          <w:p w14:paraId="3E74565F">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a.投标人应接受招标文件规定的风险划分原则，未提出新的风险划分办法； </w:t>
            </w:r>
          </w:p>
          <w:p w14:paraId="1022479E">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b.投标人未增加发包人的责任范围，或减少投标人义务； </w:t>
            </w:r>
          </w:p>
          <w:p w14:paraId="0E22285B">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c.投标人未提出不同的工程验收、计量、支付办法； </w:t>
            </w:r>
          </w:p>
          <w:p w14:paraId="4F72E820">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d.投标人对合同纠纷、事故处理办法未提出异议； </w:t>
            </w:r>
          </w:p>
          <w:p w14:paraId="063FEEE4">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e.投标人在投标活动中无欺诈行为； </w:t>
            </w:r>
          </w:p>
          <w:p w14:paraId="5DBC5D72">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f.投标人未对合同条款有重要保留。 </w:t>
            </w:r>
          </w:p>
          <w:p w14:paraId="1E59B63B">
            <w:pPr>
              <w:spacing w:after="0" w:line="240" w:lineRule="auto"/>
              <w:jc w:val="both"/>
              <w:rPr>
                <w:rFonts w:ascii="宋体" w:hAnsi="宋体" w:eastAsia="宋体" w:cs="Times New Roman"/>
                <w:sz w:val="21"/>
                <w:szCs w:val="21"/>
                <w14:ligatures w14:val="none"/>
              </w:rPr>
            </w:pPr>
          </w:p>
          <w:p w14:paraId="72B0CAC6">
            <w:pPr>
              <w:spacing w:after="0" w:line="240" w:lineRule="auto"/>
              <w:jc w:val="both"/>
              <w:rPr>
                <w:rFonts w:ascii="宋体" w:hAnsi="宋体" w:eastAsia="宋体" w:cs="Times New Roman"/>
                <w:b/>
                <w:sz w:val="21"/>
                <w:szCs w:val="21"/>
                <w14:ligatures w14:val="none"/>
              </w:rPr>
            </w:pPr>
            <w:r>
              <w:rPr>
                <w:rFonts w:hint="eastAsia" w:ascii="宋体" w:hAnsi="宋体" w:eastAsia="宋体" w:cs="Times New Roman"/>
                <w:b/>
                <w:sz w:val="21"/>
                <w:szCs w:val="21"/>
                <w14:ligatures w14:val="none"/>
              </w:rPr>
              <w:t>第二个</w:t>
            </w:r>
            <w:r>
              <w:rPr>
                <w:rFonts w:ascii="宋体" w:hAnsi="宋体" w:eastAsia="宋体" w:cs="Times New Roman"/>
                <w:b/>
                <w:sz w:val="21"/>
                <w:szCs w:val="21"/>
                <w14:ligatures w14:val="none"/>
              </w:rPr>
              <w:t>信封（</w:t>
            </w:r>
            <w:r>
              <w:rPr>
                <w:rFonts w:hint="eastAsia" w:ascii="宋体" w:hAnsi="宋体" w:eastAsia="宋体" w:cs="Times New Roman"/>
                <w:b/>
                <w:sz w:val="21"/>
                <w:szCs w:val="21"/>
                <w14:ligatures w14:val="none"/>
              </w:rPr>
              <w:t>报价</w:t>
            </w:r>
            <w:r>
              <w:rPr>
                <w:rFonts w:ascii="宋体" w:hAnsi="宋体" w:eastAsia="宋体" w:cs="Times New Roman"/>
                <w:b/>
                <w:sz w:val="21"/>
                <w:szCs w:val="21"/>
                <w14:ligatures w14:val="none"/>
              </w:rPr>
              <w:t>文件</w:t>
            </w:r>
            <w:r>
              <w:rPr>
                <w:rFonts w:hint="eastAsia" w:ascii="宋体" w:hAnsi="宋体" w:eastAsia="宋体" w:cs="Times New Roman"/>
                <w:b/>
                <w:sz w:val="21"/>
                <w:szCs w:val="21"/>
                <w14:ligatures w14:val="none"/>
              </w:rPr>
              <w:t>）评审</w:t>
            </w:r>
            <w:r>
              <w:rPr>
                <w:rFonts w:ascii="宋体" w:hAnsi="宋体" w:eastAsia="宋体" w:cs="Times New Roman"/>
                <w:b/>
                <w:sz w:val="21"/>
                <w:szCs w:val="21"/>
                <w14:ligatures w14:val="none"/>
              </w:rPr>
              <w:t>标准：</w:t>
            </w:r>
          </w:p>
          <w:p w14:paraId="036009DD">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（1）投标文件按照招标文件规定的格式、内容填写，字迹清晰可辨：</w:t>
            </w:r>
          </w:p>
          <w:p w14:paraId="1667278C">
            <w:pPr>
              <w:spacing w:after="0" w:line="24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a.投标函按招标文件规定填报了项目名称、标段号、补遗书编号（如有）、投标价（包括大写金额和小写金额）；</w:t>
            </w:r>
          </w:p>
          <w:p w14:paraId="0E64EB8C">
            <w:pPr>
              <w:spacing w:after="0" w:line="24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b.投标文件组成齐全完整，内容均按规定填写。</w:t>
            </w:r>
          </w:p>
          <w:p w14:paraId="50AD0A7D">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（2）投标文件上法定代表人或其委托代理人的签字、投标人的单位章盖章齐全，符合招标文件规定。</w:t>
            </w:r>
          </w:p>
          <w:p w14:paraId="197832D5">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（3）投标报价未超过招标文件设定的最高投标限价。</w:t>
            </w:r>
          </w:p>
          <w:p w14:paraId="3342CB8E">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（4）投标报价的大写金额能够确定具体数值。</w:t>
            </w:r>
          </w:p>
          <w:p w14:paraId="2487C694">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（5）同一投标人在同一标段未同时提交两个以上不同的投标报价。</w:t>
            </w:r>
          </w:p>
          <w:p w14:paraId="07D9D3E4">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（6）投标人未对工程量固化清单电子文件中的给定的数据、格式和运算定义进行修改；工程量固化清单中的投标报价和投标函大写金额报价一致。</w:t>
            </w:r>
          </w:p>
        </w:tc>
      </w:tr>
      <w:tr w14:paraId="31F3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61" w:hRule="atLeast"/>
          <w:jc w:val="center"/>
        </w:trPr>
        <w:tc>
          <w:tcPr>
            <w:tcW w:w="700" w:type="pct"/>
            <w:vAlign w:val="center"/>
          </w:tcPr>
          <w:p w14:paraId="5828AFC6">
            <w:pPr>
              <w:adjustRightInd w:val="0"/>
              <w:snapToGrid w:val="0"/>
              <w:spacing w:after="0" w:line="240" w:lineRule="auto"/>
              <w:jc w:val="center"/>
              <w:rPr>
                <w:rFonts w:ascii="宋体" w:hAnsi="宋体" w:eastAsia="宋体" w:cs="Times New Roman"/>
                <w:sz w:val="21"/>
                <w:szCs w:val="21"/>
                <w14:ligatures w14:val="none"/>
              </w:rPr>
            </w:pPr>
            <w:r>
              <w:rPr>
                <w:rFonts w:hint="eastAsia" w:ascii="宋体" w:hAnsi="宋体" w:eastAsia="宋体" w:cs="Times New Roman"/>
                <w:sz w:val="21"/>
                <w:szCs w:val="21"/>
                <w14:ligatures w14:val="none"/>
              </w:rPr>
              <w:t>2.1.2</w:t>
            </w:r>
          </w:p>
        </w:tc>
        <w:tc>
          <w:tcPr>
            <w:tcW w:w="948" w:type="pct"/>
            <w:vAlign w:val="center"/>
          </w:tcPr>
          <w:p w14:paraId="2BEC2462">
            <w:pPr>
              <w:adjustRightInd w:val="0"/>
              <w:snapToGrid w:val="0"/>
              <w:spacing w:after="0" w:line="240" w:lineRule="auto"/>
              <w:jc w:val="center"/>
              <w:rPr>
                <w:rFonts w:ascii="宋体" w:hAnsi="宋体" w:eastAsia="宋体" w:cs="Times New Roman"/>
                <w:sz w:val="21"/>
                <w:szCs w:val="21"/>
                <w14:ligatures w14:val="none"/>
              </w:rPr>
            </w:pPr>
            <w:r>
              <w:rPr>
                <w:rFonts w:hint="eastAsia" w:ascii="宋体" w:hAnsi="宋体" w:eastAsia="宋体" w:cs="Times New Roman"/>
                <w:sz w:val="21"/>
                <w:szCs w:val="21"/>
                <w14:ligatures w14:val="none"/>
              </w:rPr>
              <w:t>资格评审标准</w:t>
            </w:r>
          </w:p>
        </w:tc>
        <w:tc>
          <w:tcPr>
            <w:tcW w:w="3352" w:type="pct"/>
            <w:vAlign w:val="center"/>
          </w:tcPr>
          <w:p w14:paraId="1D3C9B32">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（1）投标人具备有效的营业执照、资质证书、安全生产许可证、基本账户开户许可证或基本存款账户信息；</w:t>
            </w:r>
          </w:p>
          <w:p w14:paraId="391A8D9A">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（2）投标人的资质等级符合招标文件规定。</w:t>
            </w:r>
          </w:p>
          <w:p w14:paraId="4AB72EE0">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（3）投标人的项目业绩符合招标文件规定。</w:t>
            </w:r>
          </w:p>
          <w:p w14:paraId="708E30B9">
            <w:pPr>
              <w:spacing w:after="0" w:line="240" w:lineRule="auto"/>
              <w:jc w:val="both"/>
              <w:rPr>
                <w:rFonts w:ascii="宋体" w:hAnsi="宋体" w:eastAsia="宋体" w:cs="Times New Roman"/>
                <w:sz w:val="21"/>
                <w:szCs w:val="21"/>
                <w14:ligatures w14:val="none"/>
              </w:rPr>
            </w:pPr>
            <w:r>
              <w:rPr>
                <w:rFonts w:hint="eastAsia" w:ascii="宋体" w:hAnsi="宋体" w:eastAsia="宋体" w:cs="Times New Roman"/>
                <w:sz w:val="21"/>
                <w:szCs w:val="21"/>
                <w14:ligatures w14:val="none"/>
              </w:rPr>
              <w:t>（4）投标人的信誉符合招标文件规定。</w:t>
            </w:r>
          </w:p>
          <w:p w14:paraId="19F011E2">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（5）投标人的项目负责人资格符合招标文件规定。</w:t>
            </w:r>
          </w:p>
          <w:p w14:paraId="29EADB80">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（6）投标人不存在第二章“投标人须知”第1.4.3项或第1.4.4项规定的任何一种情形。</w:t>
            </w:r>
          </w:p>
        </w:tc>
      </w:tr>
      <w:tr w14:paraId="566B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2" w:hRule="atLeast"/>
          <w:jc w:val="center"/>
        </w:trPr>
        <w:tc>
          <w:tcPr>
            <w:tcW w:w="700" w:type="pct"/>
            <w:tcBorders>
              <w:top w:val="single" w:color="auto" w:sz="4" w:space="0"/>
              <w:left w:val="single" w:color="auto" w:sz="4" w:space="0"/>
              <w:bottom w:val="single" w:color="auto" w:sz="4" w:space="0"/>
              <w:right w:val="single" w:color="auto" w:sz="4" w:space="0"/>
            </w:tcBorders>
            <w:vAlign w:val="center"/>
          </w:tcPr>
          <w:p w14:paraId="686F1CDF">
            <w:pPr>
              <w:adjustRightInd w:val="0"/>
              <w:snapToGrid w:val="0"/>
              <w:spacing w:after="0" w:line="240" w:lineRule="auto"/>
              <w:jc w:val="center"/>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条款号</w:t>
            </w:r>
          </w:p>
        </w:tc>
        <w:tc>
          <w:tcPr>
            <w:tcW w:w="948" w:type="pct"/>
            <w:tcBorders>
              <w:top w:val="single" w:color="auto" w:sz="4" w:space="0"/>
              <w:left w:val="single" w:color="auto" w:sz="4" w:space="0"/>
              <w:bottom w:val="single" w:color="auto" w:sz="4" w:space="0"/>
              <w:right w:val="single" w:color="auto" w:sz="4" w:space="0"/>
            </w:tcBorders>
            <w:vAlign w:val="center"/>
          </w:tcPr>
          <w:p w14:paraId="09B382C3">
            <w:pPr>
              <w:adjustRightInd w:val="0"/>
              <w:snapToGrid w:val="0"/>
              <w:spacing w:after="0" w:line="240" w:lineRule="auto"/>
              <w:jc w:val="center"/>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条款内容</w:t>
            </w:r>
          </w:p>
        </w:tc>
        <w:tc>
          <w:tcPr>
            <w:tcW w:w="3352" w:type="pct"/>
            <w:tcBorders>
              <w:top w:val="single" w:color="auto" w:sz="4" w:space="0"/>
              <w:left w:val="single" w:color="auto" w:sz="4" w:space="0"/>
              <w:bottom w:val="single" w:color="auto" w:sz="4" w:space="0"/>
              <w:right w:val="single" w:color="auto" w:sz="4" w:space="0"/>
            </w:tcBorders>
            <w:vAlign w:val="center"/>
          </w:tcPr>
          <w:p w14:paraId="46AC2DF5">
            <w:pPr>
              <w:spacing w:after="0" w:line="240" w:lineRule="auto"/>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编 列 内 容</w:t>
            </w:r>
          </w:p>
        </w:tc>
      </w:tr>
      <w:tr w14:paraId="63B8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0" w:hRule="atLeast"/>
          <w:jc w:val="center"/>
        </w:trPr>
        <w:tc>
          <w:tcPr>
            <w:tcW w:w="700" w:type="pct"/>
            <w:tcBorders>
              <w:top w:val="single" w:color="auto" w:sz="4" w:space="0"/>
              <w:left w:val="single" w:color="auto" w:sz="4" w:space="0"/>
              <w:bottom w:val="single" w:color="auto" w:sz="4" w:space="0"/>
              <w:right w:val="single" w:color="auto" w:sz="4" w:space="0"/>
            </w:tcBorders>
            <w:vAlign w:val="center"/>
          </w:tcPr>
          <w:p w14:paraId="06C5A053">
            <w:pPr>
              <w:adjustRightInd w:val="0"/>
              <w:snapToGrid w:val="0"/>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2.2.1</w:t>
            </w:r>
          </w:p>
        </w:tc>
        <w:tc>
          <w:tcPr>
            <w:tcW w:w="948" w:type="pct"/>
            <w:tcBorders>
              <w:top w:val="single" w:color="auto" w:sz="4" w:space="0"/>
              <w:left w:val="single" w:color="auto" w:sz="4" w:space="0"/>
              <w:bottom w:val="single" w:color="auto" w:sz="4" w:space="0"/>
              <w:right w:val="single" w:color="auto" w:sz="4" w:space="0"/>
            </w:tcBorders>
            <w:vAlign w:val="center"/>
          </w:tcPr>
          <w:p w14:paraId="66A437DD">
            <w:pPr>
              <w:adjustRightInd w:val="0"/>
              <w:snapToGrid w:val="0"/>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分值构成</w:t>
            </w:r>
          </w:p>
        </w:tc>
        <w:tc>
          <w:tcPr>
            <w:tcW w:w="3352" w:type="pct"/>
            <w:tcBorders>
              <w:top w:val="single" w:color="auto" w:sz="4" w:space="0"/>
              <w:left w:val="single" w:color="auto" w:sz="4" w:space="0"/>
              <w:bottom w:val="single" w:color="auto" w:sz="4" w:space="0"/>
              <w:right w:val="single" w:color="auto" w:sz="4" w:space="0"/>
            </w:tcBorders>
            <w:vAlign w:val="center"/>
          </w:tcPr>
          <w:p w14:paraId="44FFFD77">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b/>
                <w:sz w:val="21"/>
                <w:szCs w:val="21"/>
                <w14:ligatures w14:val="none"/>
              </w:rPr>
              <w:t>第一个信封（商务及技术文件）评分分值构成：</w:t>
            </w:r>
          </w:p>
          <w:p w14:paraId="2BAB9274">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pacing w:val="-6"/>
                <w:sz w:val="21"/>
                <w:szCs w:val="21"/>
                <w14:ligatures w14:val="none"/>
              </w:rPr>
              <w:t>养护实施方案</w:t>
            </w:r>
            <w:r>
              <w:rPr>
                <w:rFonts w:hint="eastAsia" w:ascii="宋体" w:hAnsi="宋体" w:eastAsia="宋体" w:cs="Times New Roman"/>
                <w:sz w:val="21"/>
                <w:szCs w:val="21"/>
                <w14:ligatures w14:val="none"/>
              </w:rPr>
              <w:t>：30分</w:t>
            </w:r>
          </w:p>
          <w:p w14:paraId="701E25E8">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主要人员：10分</w:t>
            </w:r>
          </w:p>
          <w:p w14:paraId="4FA13735">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其他因素：10分</w:t>
            </w:r>
          </w:p>
          <w:p w14:paraId="76CFC4E4">
            <w:pPr>
              <w:spacing w:after="0" w:line="240" w:lineRule="auto"/>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第二个信封（报价文件）评分分值构成：</w:t>
            </w:r>
          </w:p>
          <w:p w14:paraId="1BC15A76">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评标价：50分</w:t>
            </w:r>
          </w:p>
        </w:tc>
      </w:tr>
      <w:tr w14:paraId="5E46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61" w:hRule="atLeast"/>
          <w:jc w:val="center"/>
        </w:trPr>
        <w:tc>
          <w:tcPr>
            <w:tcW w:w="700" w:type="pct"/>
            <w:tcBorders>
              <w:top w:val="single" w:color="auto" w:sz="4" w:space="0"/>
              <w:left w:val="single" w:color="auto" w:sz="4" w:space="0"/>
              <w:bottom w:val="single" w:color="auto" w:sz="4" w:space="0"/>
              <w:right w:val="single" w:color="auto" w:sz="4" w:space="0"/>
            </w:tcBorders>
            <w:vAlign w:val="center"/>
          </w:tcPr>
          <w:p w14:paraId="2C079691">
            <w:pPr>
              <w:adjustRightInd w:val="0"/>
              <w:snapToGrid w:val="0"/>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2.2.2</w:t>
            </w:r>
          </w:p>
        </w:tc>
        <w:tc>
          <w:tcPr>
            <w:tcW w:w="948" w:type="pct"/>
            <w:tcBorders>
              <w:top w:val="single" w:color="auto" w:sz="4" w:space="0"/>
              <w:left w:val="single" w:color="auto" w:sz="4" w:space="0"/>
              <w:bottom w:val="single" w:color="auto" w:sz="4" w:space="0"/>
              <w:right w:val="single" w:color="auto" w:sz="4" w:space="0"/>
            </w:tcBorders>
            <w:vAlign w:val="center"/>
          </w:tcPr>
          <w:p w14:paraId="3A280E2B">
            <w:pPr>
              <w:adjustRightInd w:val="0"/>
              <w:snapToGrid w:val="0"/>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评标基准价计算方法</w:t>
            </w:r>
          </w:p>
        </w:tc>
        <w:tc>
          <w:tcPr>
            <w:tcW w:w="3352" w:type="pct"/>
            <w:tcBorders>
              <w:top w:val="single" w:color="auto" w:sz="4" w:space="0"/>
              <w:left w:val="single" w:color="auto" w:sz="4" w:space="0"/>
              <w:bottom w:val="single" w:color="auto" w:sz="4" w:space="0"/>
              <w:right w:val="single" w:color="auto" w:sz="4" w:space="0"/>
            </w:tcBorders>
            <w:vAlign w:val="center"/>
          </w:tcPr>
          <w:p w14:paraId="2DB46B21">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评标基准价的计算：</w:t>
            </w:r>
          </w:p>
          <w:p w14:paraId="7D7E8CDA">
            <w:pPr>
              <w:spacing w:after="0" w:line="24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在第二个信封开标现场，招标人将当场计算评标基准价。</w:t>
            </w:r>
          </w:p>
          <w:p w14:paraId="7AEE8C6A">
            <w:pPr>
              <w:spacing w:after="0" w:line="24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(1)评标价的确定：</w:t>
            </w:r>
          </w:p>
          <w:p w14:paraId="2C8DBD37">
            <w:pPr>
              <w:spacing w:after="0" w:line="24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评标价=投标函文字报价</w:t>
            </w:r>
          </w:p>
          <w:p w14:paraId="54A0A073">
            <w:pPr>
              <w:spacing w:after="0" w:line="240" w:lineRule="auto"/>
              <w:ind w:firstLine="420" w:firstLineChars="200"/>
              <w:jc w:val="both"/>
              <w:rPr>
                <w:rFonts w:ascii="宋体" w:hAnsi="宋体" w:eastAsia="宋体" w:cs="Times New Roman"/>
                <w:sz w:val="21"/>
                <w:szCs w:val="21"/>
                <w14:ligatures w14:val="none"/>
              </w:rPr>
            </w:pPr>
            <w:r>
              <w:rPr>
                <w:rFonts w:hint="eastAsia" w:ascii="宋体" w:hAnsi="宋体" w:eastAsia="宋体" w:cs="Times New Roman"/>
                <w:sz w:val="21"/>
                <w:szCs w:val="21"/>
                <w14:ligatures w14:val="none"/>
              </w:rPr>
              <w:t>(2)评标价平均值的计算：</w:t>
            </w:r>
          </w:p>
          <w:p w14:paraId="313841D5">
            <w:pPr>
              <w:spacing w:after="0" w:line="276" w:lineRule="auto"/>
              <w:ind w:firstLine="420" w:firstLineChars="200"/>
              <w:jc w:val="both"/>
              <w:rPr>
                <w:rFonts w:ascii="宋体" w:hAnsi="宋体" w:eastAsia="宋体" w:cs="Times New Roman"/>
                <w:sz w:val="21"/>
                <w14:ligatures w14:val="none"/>
              </w:rPr>
            </w:pPr>
            <w:r>
              <w:rPr>
                <w:rFonts w:hint="eastAsia" w:ascii="宋体" w:hAnsi="宋体" w:eastAsia="宋体" w:cs="Times New Roman"/>
                <w:sz w:val="21"/>
                <w:szCs w:val="21"/>
                <w14:ligatures w14:val="none"/>
              </w:rPr>
              <w:t>除按第二章“投标人须知”第5.</w:t>
            </w:r>
            <w:r>
              <w:rPr>
                <w:rFonts w:ascii="宋体" w:hAnsi="宋体" w:eastAsia="宋体" w:cs="Times New Roman"/>
                <w:sz w:val="21"/>
                <w:szCs w:val="21"/>
                <w14:ligatures w14:val="none"/>
              </w:rPr>
              <w:t>2.4</w:t>
            </w:r>
            <w:r>
              <w:rPr>
                <w:rFonts w:hint="eastAsia" w:ascii="宋体" w:hAnsi="宋体" w:eastAsia="宋体" w:cs="Times New Roman"/>
                <w:sz w:val="21"/>
                <w:szCs w:val="21"/>
                <w14:ligatures w14:val="none"/>
              </w:rPr>
              <w:t>项规定开标现场被宣布为不进入评标基准价计算的投标报价之外，所有投标人的评标价的算术平均值即为评标价平均值</w:t>
            </w:r>
            <w:r>
              <w:rPr>
                <w:rFonts w:hint="eastAsia" w:ascii="宋体" w:hAnsi="宋体" w:eastAsia="宋体" w:cs="Times New Roman"/>
                <w:sz w:val="21"/>
                <w14:ligatures w14:val="none"/>
              </w:rPr>
              <w:t>。</w:t>
            </w:r>
          </w:p>
          <w:p w14:paraId="56424AFD">
            <w:pPr>
              <w:spacing w:after="0" w:line="240" w:lineRule="auto"/>
              <w:ind w:firstLine="420" w:firstLineChars="200"/>
              <w:jc w:val="both"/>
              <w:rPr>
                <w:rFonts w:ascii="宋体" w:hAnsi="宋体" w:eastAsia="宋体" w:cs="Times New Roman"/>
                <w:sz w:val="21"/>
                <w:szCs w:val="21"/>
                <w14:ligatures w14:val="none"/>
              </w:rPr>
            </w:pPr>
            <w:r>
              <w:rPr>
                <w:rFonts w:hint="eastAsia" w:ascii="宋体" w:hAnsi="宋体" w:eastAsia="宋体" w:cs="Times New Roman"/>
                <w:sz w:val="21"/>
                <w:szCs w:val="21"/>
                <w14:ligatures w14:val="none"/>
              </w:rPr>
              <w:t>(3)评标基准价的确定：</w:t>
            </w:r>
          </w:p>
          <w:p w14:paraId="4843B81B">
            <w:pPr>
              <w:spacing w:after="0" w:line="24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将评标价平均值直接作为评标基准价，保留两位小数，小数点后第三位四舍五入。</w:t>
            </w:r>
          </w:p>
          <w:p w14:paraId="68FAC8BC">
            <w:pPr>
              <w:spacing w:after="0" w:line="24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在评标过程中，评标委员会应对招标人计算的评标基准价进行复核，存在计算错误的应予以修正并在评标报告中作出说明。除此之外，评标基准价在整个评标期间保持不变，不随任何因素发生变化。</w:t>
            </w:r>
          </w:p>
          <w:p w14:paraId="77F3C7D5">
            <w:pPr>
              <w:spacing w:after="0" w:line="24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14:ligatures w14:val="none"/>
              </w:rPr>
              <w:t>当所有投标价都高于最高投标限价时，招标人将重新招标</w:t>
            </w:r>
            <w:r>
              <w:rPr>
                <w:rFonts w:hint="eastAsia" w:ascii="宋体" w:hAnsi="宋体" w:eastAsia="宋体" w:cs="Times New Roman"/>
                <w:sz w:val="21"/>
                <w:szCs w:val="21"/>
                <w14:ligatures w14:val="none"/>
              </w:rPr>
              <w:t>。</w:t>
            </w:r>
          </w:p>
        </w:tc>
      </w:tr>
      <w:tr w14:paraId="20EF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44" w:hRule="atLeast"/>
          <w:jc w:val="center"/>
        </w:trPr>
        <w:tc>
          <w:tcPr>
            <w:tcW w:w="700" w:type="pct"/>
            <w:tcBorders>
              <w:top w:val="single" w:color="auto" w:sz="4" w:space="0"/>
              <w:left w:val="single" w:color="auto" w:sz="4" w:space="0"/>
              <w:bottom w:val="single" w:color="auto" w:sz="4" w:space="0"/>
              <w:right w:val="single" w:color="auto" w:sz="4" w:space="0"/>
            </w:tcBorders>
            <w:vAlign w:val="center"/>
          </w:tcPr>
          <w:p w14:paraId="472CFDED">
            <w:pPr>
              <w:adjustRightInd w:val="0"/>
              <w:snapToGrid w:val="0"/>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2.2.3</w:t>
            </w:r>
          </w:p>
        </w:tc>
        <w:tc>
          <w:tcPr>
            <w:tcW w:w="948" w:type="pct"/>
            <w:tcBorders>
              <w:top w:val="single" w:color="auto" w:sz="4" w:space="0"/>
              <w:left w:val="single" w:color="auto" w:sz="4" w:space="0"/>
              <w:bottom w:val="single" w:color="auto" w:sz="4" w:space="0"/>
              <w:right w:val="single" w:color="auto" w:sz="4" w:space="0"/>
            </w:tcBorders>
            <w:vAlign w:val="center"/>
          </w:tcPr>
          <w:p w14:paraId="24164FB5">
            <w:pPr>
              <w:adjustRightInd w:val="0"/>
              <w:snapToGrid w:val="0"/>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评标价的偏差率计算公式</w:t>
            </w:r>
          </w:p>
        </w:tc>
        <w:tc>
          <w:tcPr>
            <w:tcW w:w="3352" w:type="pct"/>
            <w:tcBorders>
              <w:top w:val="single" w:color="auto" w:sz="4" w:space="0"/>
              <w:left w:val="single" w:color="auto" w:sz="4" w:space="0"/>
              <w:bottom w:val="single" w:color="auto" w:sz="4" w:space="0"/>
              <w:right w:val="single" w:color="auto" w:sz="4" w:space="0"/>
            </w:tcBorders>
            <w:vAlign w:val="center"/>
          </w:tcPr>
          <w:p w14:paraId="06FC87BB">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偏差率=100%×(投标人评标价-评标基准价)÷评标基准价</w:t>
            </w:r>
          </w:p>
        </w:tc>
      </w:tr>
      <w:tr w14:paraId="26CE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44" w:hRule="atLeast"/>
          <w:jc w:val="center"/>
        </w:trPr>
        <w:tc>
          <w:tcPr>
            <w:tcW w:w="700" w:type="pct"/>
            <w:tcBorders>
              <w:top w:val="single" w:color="auto" w:sz="4" w:space="0"/>
              <w:left w:val="single" w:color="auto" w:sz="4" w:space="0"/>
              <w:bottom w:val="single" w:color="auto" w:sz="4" w:space="0"/>
              <w:right w:val="single" w:color="auto" w:sz="4" w:space="0"/>
            </w:tcBorders>
            <w:vAlign w:val="center"/>
          </w:tcPr>
          <w:p w14:paraId="2BB8C603">
            <w:pPr>
              <w:adjustRightInd w:val="0"/>
              <w:snapToGrid w:val="0"/>
              <w:spacing w:after="0" w:line="240" w:lineRule="auto"/>
              <w:jc w:val="center"/>
              <w:rPr>
                <w:rFonts w:ascii="宋体" w:hAnsi="宋体" w:eastAsia="宋体" w:cs="Times New Roman"/>
                <w:sz w:val="21"/>
                <w:szCs w:val="21"/>
                <w14:ligatures w14:val="none"/>
              </w:rPr>
            </w:pPr>
            <w:r>
              <w:rPr>
                <w:rFonts w:hint="eastAsia" w:ascii="宋体" w:hAnsi="宋体" w:eastAsia="宋体" w:cs="Times New Roman"/>
                <w:sz w:val="21"/>
                <w:szCs w:val="21"/>
                <w14:ligatures w14:val="none"/>
              </w:rPr>
              <w:t>3.5.2</w:t>
            </w:r>
          </w:p>
        </w:tc>
        <w:tc>
          <w:tcPr>
            <w:tcW w:w="948" w:type="pct"/>
            <w:tcBorders>
              <w:top w:val="single" w:color="auto" w:sz="4" w:space="0"/>
              <w:left w:val="single" w:color="auto" w:sz="4" w:space="0"/>
              <w:bottom w:val="single" w:color="auto" w:sz="4" w:space="0"/>
              <w:right w:val="single" w:color="auto" w:sz="4" w:space="0"/>
            </w:tcBorders>
            <w:vAlign w:val="center"/>
          </w:tcPr>
          <w:p w14:paraId="6A9136CE">
            <w:pPr>
              <w:adjustRightInd w:val="0"/>
              <w:snapToGrid w:val="0"/>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异常低价投标情形</w:t>
            </w:r>
          </w:p>
        </w:tc>
        <w:tc>
          <w:tcPr>
            <w:tcW w:w="3352" w:type="pct"/>
            <w:tcBorders>
              <w:top w:val="single" w:color="auto" w:sz="4" w:space="0"/>
              <w:left w:val="single" w:color="auto" w:sz="4" w:space="0"/>
              <w:bottom w:val="single" w:color="auto" w:sz="4" w:space="0"/>
              <w:right w:val="single" w:color="auto" w:sz="4" w:space="0"/>
            </w:tcBorders>
            <w:vAlign w:val="center"/>
          </w:tcPr>
          <w:p w14:paraId="5FF0753E">
            <w:pPr>
              <w:spacing w:after="0" w:line="24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本款修改为：评标委员会发现投标人的投标报价低于最高投标限价的85%，应要求该投标人作出书面说明并提供相应的证明材料。投标人不能合理说明或不能提供相应证明材料的，由评标委员会认定该投标人以低于成本报价竞标，并否决其投标。</w:t>
            </w:r>
          </w:p>
        </w:tc>
      </w:tr>
      <w:tr w14:paraId="740A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29" w:hRule="atLeast"/>
          <w:jc w:val="center"/>
        </w:trPr>
        <w:tc>
          <w:tcPr>
            <w:tcW w:w="700" w:type="pct"/>
            <w:tcBorders>
              <w:top w:val="single" w:color="auto" w:sz="4" w:space="0"/>
              <w:left w:val="single" w:color="auto" w:sz="4" w:space="0"/>
              <w:bottom w:val="single" w:color="auto" w:sz="4" w:space="0"/>
              <w:right w:val="single" w:color="auto" w:sz="4" w:space="0"/>
            </w:tcBorders>
            <w:vAlign w:val="center"/>
          </w:tcPr>
          <w:p w14:paraId="65D21718">
            <w:pPr>
              <w:adjustRightInd w:val="0"/>
              <w:snapToGrid w:val="0"/>
              <w:spacing w:after="0" w:line="240" w:lineRule="auto"/>
              <w:jc w:val="center"/>
              <w:rPr>
                <w:rFonts w:hint="eastAsia" w:ascii="宋体" w:hAnsi="宋体" w:eastAsia="宋体" w:cs="Times New Roman"/>
                <w:sz w:val="21"/>
                <w:szCs w:val="21"/>
                <w14:ligatures w14:val="none"/>
              </w:rPr>
            </w:pPr>
            <w:r>
              <w:rPr>
                <w:rFonts w:hint="eastAsia" w:ascii="宋体" w:hAnsi="宋体" w:eastAsia="宋体" w:cs="宋体"/>
                <w:sz w:val="21"/>
                <w:szCs w:val="21"/>
                <w14:ligatures w14:val="none"/>
              </w:rPr>
              <w:t>3.6.1</w:t>
            </w:r>
          </w:p>
        </w:tc>
        <w:tc>
          <w:tcPr>
            <w:tcW w:w="948" w:type="pct"/>
            <w:tcBorders>
              <w:top w:val="single" w:color="auto" w:sz="4" w:space="0"/>
              <w:left w:val="single" w:color="auto" w:sz="4" w:space="0"/>
              <w:bottom w:val="single" w:color="auto" w:sz="4" w:space="0"/>
              <w:right w:val="single" w:color="auto" w:sz="4" w:space="0"/>
            </w:tcBorders>
            <w:vAlign w:val="center"/>
          </w:tcPr>
          <w:p w14:paraId="47CCE7B5">
            <w:pPr>
              <w:adjustRightInd w:val="0"/>
              <w:snapToGrid w:val="0"/>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投标文件相关信息核查</w:t>
            </w:r>
          </w:p>
        </w:tc>
        <w:tc>
          <w:tcPr>
            <w:tcW w:w="3352" w:type="pct"/>
            <w:tcBorders>
              <w:top w:val="single" w:color="auto" w:sz="4" w:space="0"/>
              <w:left w:val="single" w:color="auto" w:sz="4" w:space="0"/>
              <w:bottom w:val="single" w:color="auto" w:sz="4" w:space="0"/>
              <w:right w:val="single" w:color="auto" w:sz="4" w:space="0"/>
            </w:tcBorders>
            <w:vAlign w:val="center"/>
          </w:tcPr>
          <w:p w14:paraId="1AE1EB7D">
            <w:pPr>
              <w:spacing w:after="0" w:line="276" w:lineRule="auto"/>
              <w:rPr>
                <w:rFonts w:ascii="宋体" w:hAnsi="宋体" w:eastAsia="宋体" w:cs="Times New Roman"/>
                <w:spacing w:val="-4"/>
                <w:kern w:val="28"/>
                <w:sz w:val="21"/>
                <w:szCs w:val="21"/>
                <w14:ligatures w14:val="none"/>
              </w:rPr>
            </w:pPr>
            <w:r>
              <w:rPr>
                <w:rFonts w:ascii="宋体" w:hAnsi="宋体" w:eastAsia="宋体" w:cs="Times New Roman"/>
                <w:spacing w:val="-4"/>
                <w:kern w:val="28"/>
                <w:sz w:val="21"/>
                <w:szCs w:val="21"/>
                <w14:ligatures w14:val="none"/>
              </w:rPr>
              <w:t>本条修改为：</w:t>
            </w:r>
          </w:p>
          <w:p w14:paraId="6813E0FE">
            <w:pPr>
              <w:autoSpaceDE w:val="0"/>
              <w:autoSpaceDN w:val="0"/>
              <w:spacing w:after="0" w:line="276" w:lineRule="auto"/>
              <w:ind w:firstLine="420" w:firstLineChars="200"/>
              <w:jc w:val="both"/>
              <w:rPr>
                <w:rFonts w:ascii="宋体" w:hAnsi="宋体" w:eastAsia="宋体" w:cs="宋体"/>
                <w:sz w:val="21"/>
                <w:szCs w:val="21"/>
                <w14:ligatures w14:val="none"/>
              </w:rPr>
            </w:pPr>
            <w:r>
              <w:rPr>
                <w:rFonts w:ascii="宋体" w:hAnsi="宋体" w:eastAsia="宋体" w:cs="宋体"/>
                <w:sz w:val="21"/>
                <w:szCs w:val="21"/>
                <w14:ligatures w14:val="none"/>
              </w:rPr>
              <w:t>在评标过程中，评标委员会应对投标人以下信息进行查询：</w:t>
            </w:r>
          </w:p>
          <w:p w14:paraId="5DAB4E28">
            <w:pPr>
              <w:autoSpaceDE w:val="0"/>
              <w:autoSpaceDN w:val="0"/>
              <w:spacing w:after="0" w:line="276" w:lineRule="auto"/>
              <w:ind w:firstLine="420" w:firstLineChars="200"/>
              <w:jc w:val="both"/>
              <w:rPr>
                <w:rFonts w:ascii="宋体" w:hAnsi="宋体" w:eastAsia="宋体" w:cs="宋体"/>
                <w:sz w:val="21"/>
                <w:szCs w:val="21"/>
                <w14:ligatures w14:val="none"/>
              </w:rPr>
            </w:pPr>
            <w:r>
              <w:rPr>
                <w:rFonts w:ascii="宋体" w:hAnsi="宋体" w:eastAsia="宋体" w:cs="宋体"/>
                <w:sz w:val="21"/>
                <w:szCs w:val="21"/>
                <w14:ligatures w14:val="none"/>
              </w:rPr>
              <w:t>（1）</w:t>
            </w:r>
            <w:r>
              <w:rPr>
                <w:rFonts w:hint="eastAsia" w:ascii="宋体" w:hAnsi="宋体" w:eastAsia="宋体" w:cs="宋体"/>
                <w:sz w:val="21"/>
                <w:szCs w:val="21"/>
                <w14:ligatures w14:val="none"/>
              </w:rPr>
              <w:t>如</w:t>
            </w:r>
            <w:r>
              <w:rPr>
                <w:rFonts w:ascii="宋体" w:hAnsi="宋体" w:eastAsia="宋体" w:cs="宋体"/>
                <w:sz w:val="21"/>
                <w:szCs w:val="21"/>
                <w14:ligatures w14:val="none"/>
              </w:rPr>
              <w:t>项目经理</w:t>
            </w:r>
            <w:r>
              <w:rPr>
                <w:rFonts w:hint="eastAsia" w:ascii="宋体" w:hAnsi="宋体" w:eastAsia="宋体" w:cs="宋体"/>
                <w:sz w:val="21"/>
                <w:szCs w:val="21"/>
                <w14:ligatures w14:val="none"/>
              </w:rPr>
              <w:t>为</w:t>
            </w:r>
            <w:r>
              <w:rPr>
                <w:rFonts w:ascii="宋体" w:hAnsi="宋体" w:eastAsia="宋体" w:cs="宋体"/>
                <w:sz w:val="21"/>
                <w:szCs w:val="21"/>
                <w14:ligatures w14:val="none"/>
              </w:rPr>
              <w:t>一级注册建造师</w:t>
            </w:r>
            <w:r>
              <w:rPr>
                <w:rFonts w:hint="eastAsia" w:ascii="宋体" w:hAnsi="宋体" w:eastAsia="宋体" w:cs="宋体"/>
                <w:sz w:val="21"/>
                <w:szCs w:val="21"/>
                <w14:ligatures w14:val="none"/>
              </w:rPr>
              <w:t>，项目经理</w:t>
            </w:r>
            <w:r>
              <w:rPr>
                <w:rFonts w:ascii="宋体" w:hAnsi="宋体" w:eastAsia="宋体" w:cs="宋体"/>
                <w:sz w:val="21"/>
                <w:szCs w:val="21"/>
                <w14:ligatures w14:val="none"/>
              </w:rPr>
              <w:t>一级注册建造师信息的网页截图复印件与“全国建筑市场监管公共服务平台（http://jzsc.mohurd.gov.cn/）”核查的结果一致</w:t>
            </w:r>
            <w:r>
              <w:rPr>
                <w:rFonts w:ascii="宋体" w:hAnsi="宋体" w:eastAsia="宋体" w:cs="宋体"/>
                <w:sz w:val="21"/>
                <w14:ligatures w14:val="none"/>
              </w:rPr>
              <w:t>。项目经理的</w:t>
            </w:r>
            <w:r>
              <w:rPr>
                <w:rFonts w:ascii="宋体" w:hAnsi="宋体" w:eastAsia="宋体" w:cs="Times New Roman"/>
                <w:sz w:val="21"/>
                <w14:ligatures w14:val="none"/>
              </w:rPr>
              <w:t>一级建造师电子注册证书</w:t>
            </w:r>
            <w:r>
              <w:rPr>
                <w:rFonts w:ascii="宋体" w:hAnsi="宋体" w:eastAsia="宋体" w:cs="宋体"/>
                <w:sz w:val="21"/>
                <w14:ligatures w14:val="none"/>
              </w:rPr>
              <w:t>的注册单位名称必须与投标人名称一致</w:t>
            </w:r>
            <w:r>
              <w:rPr>
                <w:rFonts w:ascii="宋体" w:hAnsi="宋体" w:eastAsia="宋体" w:cs="宋体"/>
                <w:sz w:val="21"/>
                <w:szCs w:val="21"/>
                <w14:ligatures w14:val="none"/>
              </w:rPr>
              <w:t>；（2）投标人信用情况网页截图内容与在“国家企业信用信息公示系统”中严重违法失信名单（黑名单）信息（不含分公司）或在“信用中国”网站中失信被执行人、经营（活动）异常名录信息查询、重大税收违法失信主体、安全生产严重失信主体名单、政府采购严重违法失信行为记录名单（均不含分公司）的复核结果一致。</w:t>
            </w:r>
          </w:p>
          <w:p w14:paraId="0FE2453A">
            <w:pPr>
              <w:autoSpaceDE w:val="0"/>
              <w:autoSpaceDN w:val="0"/>
              <w:spacing w:after="0" w:line="276" w:lineRule="auto"/>
              <w:ind w:firstLine="420" w:firstLineChars="200"/>
              <w:jc w:val="both"/>
              <w:rPr>
                <w:rFonts w:hint="eastAsia" w:ascii="宋体" w:hAnsi="宋体" w:eastAsia="宋体" w:cs="宋体"/>
                <w:sz w:val="21"/>
                <w:szCs w:val="21"/>
                <w14:ligatures w14:val="none"/>
              </w:rPr>
            </w:pPr>
            <w:r>
              <w:rPr>
                <w:rFonts w:hint="eastAsia" w:ascii="宋体" w:hAnsi="宋体" w:eastAsia="宋体" w:cs="宋体"/>
                <w:sz w:val="21"/>
                <w14:ligatures w14:val="none"/>
              </w:rPr>
              <w:t>（3）评标委员会评标时还应对投标人的电子保函、电子保险进行查询。</w:t>
            </w:r>
          </w:p>
          <w:p w14:paraId="76867CBC">
            <w:pPr>
              <w:autoSpaceDE w:val="0"/>
              <w:autoSpaceDN w:val="0"/>
              <w:spacing w:after="0" w:line="276" w:lineRule="auto"/>
              <w:ind w:firstLine="420" w:firstLineChars="200"/>
              <w:jc w:val="both"/>
              <w:rPr>
                <w:rFonts w:ascii="宋体" w:hAnsi="宋体" w:eastAsia="宋体" w:cs="宋体"/>
                <w:sz w:val="21"/>
                <w:szCs w:val="21"/>
                <w14:ligatures w14:val="none"/>
              </w:rPr>
            </w:pPr>
            <w:r>
              <w:rPr>
                <w:rFonts w:ascii="宋体" w:hAnsi="宋体" w:eastAsia="宋体" w:cs="宋体"/>
                <w:sz w:val="21"/>
                <w:szCs w:val="21"/>
                <w14:ligatures w14:val="none"/>
              </w:rPr>
              <w:t>投标人未提供相关网页截图或所附截图与复核结果不一致导致不能满足资格评审要求的，评标委员会应否决其投标。</w:t>
            </w:r>
          </w:p>
          <w:p w14:paraId="206C411E">
            <w:pPr>
              <w:spacing w:after="0" w:line="276" w:lineRule="auto"/>
              <w:ind w:firstLine="420" w:firstLineChars="200"/>
              <w:jc w:val="both"/>
              <w:rPr>
                <w:rFonts w:hint="eastAsia" w:ascii="宋体" w:hAnsi="宋体" w:eastAsia="宋体" w:cs="Times New Roman"/>
                <w:sz w:val="21"/>
                <w:szCs w:val="21"/>
                <w14:ligatures w14:val="none"/>
              </w:rPr>
            </w:pPr>
            <w:r>
              <w:rPr>
                <w:rFonts w:ascii="宋体" w:hAnsi="宋体" w:eastAsia="宋体" w:cs="宋体"/>
                <w:sz w:val="21"/>
                <w:szCs w:val="21"/>
                <w14:ligatures w14: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4045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29" w:hRule="atLeast"/>
          <w:jc w:val="center"/>
        </w:trPr>
        <w:tc>
          <w:tcPr>
            <w:tcW w:w="700" w:type="pct"/>
            <w:tcBorders>
              <w:top w:val="single" w:color="auto" w:sz="4" w:space="0"/>
              <w:left w:val="single" w:color="auto" w:sz="4" w:space="0"/>
              <w:bottom w:val="single" w:color="auto" w:sz="4" w:space="0"/>
              <w:right w:val="single" w:color="auto" w:sz="4" w:space="0"/>
            </w:tcBorders>
            <w:vAlign w:val="center"/>
          </w:tcPr>
          <w:p w14:paraId="61AABA8A">
            <w:pPr>
              <w:adjustRightInd w:val="0"/>
              <w:snapToGrid w:val="0"/>
              <w:spacing w:after="0" w:line="240" w:lineRule="auto"/>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3.6.3</w:t>
            </w:r>
          </w:p>
        </w:tc>
        <w:tc>
          <w:tcPr>
            <w:tcW w:w="948" w:type="pct"/>
            <w:tcBorders>
              <w:top w:val="single" w:color="auto" w:sz="4" w:space="0"/>
              <w:left w:val="single" w:color="auto" w:sz="4" w:space="0"/>
              <w:bottom w:val="single" w:color="auto" w:sz="4" w:space="0"/>
              <w:right w:val="single" w:color="auto" w:sz="4" w:space="0"/>
            </w:tcBorders>
            <w:vAlign w:val="center"/>
          </w:tcPr>
          <w:p w14:paraId="6DC33159">
            <w:pPr>
              <w:adjustRightInd w:val="0"/>
              <w:snapToGrid w:val="0"/>
              <w:spacing w:after="0" w:line="240" w:lineRule="auto"/>
              <w:jc w:val="center"/>
              <w:rPr>
                <w:rFonts w:hint="eastAsia" w:ascii="宋体" w:hAnsi="宋体" w:eastAsia="宋体" w:cs="Times New Roman"/>
                <w:sz w:val="21"/>
                <w:szCs w:val="21"/>
                <w14:ligatures w14:val="none"/>
              </w:rPr>
            </w:pPr>
            <w:r>
              <w:rPr>
                <w:rFonts w:hint="eastAsia" w:ascii="宋体" w:hAnsi="宋体" w:eastAsia="宋体" w:cs="宋体"/>
                <w:sz w:val="21"/>
                <w:szCs w:val="21"/>
                <w14:ligatures w14:val="none"/>
              </w:rPr>
              <w:t>异常投标情形</w:t>
            </w:r>
          </w:p>
        </w:tc>
        <w:tc>
          <w:tcPr>
            <w:tcW w:w="3352" w:type="pct"/>
            <w:tcBorders>
              <w:top w:val="single" w:color="auto" w:sz="4" w:space="0"/>
              <w:left w:val="single" w:color="auto" w:sz="4" w:space="0"/>
              <w:bottom w:val="single" w:color="auto" w:sz="4" w:space="0"/>
              <w:right w:val="single" w:color="auto" w:sz="4" w:space="0"/>
            </w:tcBorders>
            <w:vAlign w:val="center"/>
          </w:tcPr>
          <w:p w14:paraId="74490EC7">
            <w:pPr>
              <w:autoSpaceDE w:val="0"/>
              <w:autoSpaceDN w:val="0"/>
              <w:spacing w:after="0" w:line="276" w:lineRule="auto"/>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增加：3.6.3异常投标情形</w:t>
            </w:r>
          </w:p>
          <w:p w14:paraId="31C8D46A">
            <w:pPr>
              <w:autoSpaceDE w:val="0"/>
              <w:autoSpaceDN w:val="0"/>
              <w:spacing w:after="0" w:line="276" w:lineRule="auto"/>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评标委员会发现以下情形之一时，应当要求投标人作出书面解释说明并提供相应的证明材料，投标人不能合理说明或不能提供相应证明材料的，由评标委员会认定投标人</w:t>
            </w:r>
            <w:r>
              <w:rPr>
                <w:rFonts w:ascii="宋体" w:hAnsi="宋体" w:eastAsia="宋体" w:cs="宋体"/>
                <w:sz w:val="21"/>
                <w:szCs w:val="21"/>
                <w14:ligatures w14:val="none"/>
              </w:rPr>
              <w:t>存在串通投标等违法行为</w:t>
            </w:r>
            <w:r>
              <w:rPr>
                <w:rFonts w:hint="eastAsia" w:ascii="宋体" w:hAnsi="宋体" w:eastAsia="宋体" w:cs="宋体"/>
                <w:sz w:val="21"/>
                <w:szCs w:val="21"/>
                <w14:ligatures w14:val="none"/>
              </w:rPr>
              <w:t>的，应否决其投标。</w:t>
            </w:r>
          </w:p>
          <w:p w14:paraId="0089C48C">
            <w:pPr>
              <w:autoSpaceDE w:val="0"/>
              <w:autoSpaceDN w:val="0"/>
              <w:spacing w:after="0" w:line="276" w:lineRule="auto"/>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投标人投标文件制作机器码雷同、投标文件创建标识码雷同、投标文件制作计算机MAC地址雷同、投标文件制作计算机硬盘序列号雷同、</w:t>
            </w:r>
            <w:r>
              <w:rPr>
                <w:rFonts w:ascii="宋体" w:hAnsi="宋体" w:eastAsia="宋体" w:cs="宋体"/>
                <w:sz w:val="21"/>
                <w:szCs w:val="21"/>
                <w14:ligatures w14:val="none"/>
              </w:rPr>
              <w:t>招标文件下载IP</w:t>
            </w:r>
            <w:r>
              <w:rPr>
                <w:rFonts w:hint="eastAsia" w:ascii="宋体" w:hAnsi="宋体" w:eastAsia="宋体" w:cs="宋体"/>
                <w:sz w:val="21"/>
                <w:szCs w:val="21"/>
                <w14:ligatures w14:val="none"/>
              </w:rPr>
              <w:t>地址雷同、投标文件上传IP地址雷同、投标文件解密IP地址雷同。</w:t>
            </w:r>
          </w:p>
        </w:tc>
      </w:tr>
    </w:tbl>
    <w:p w14:paraId="53CC71A1">
      <w:pPr>
        <w:spacing w:after="0" w:line="240" w:lineRule="auto"/>
        <w:jc w:val="both"/>
        <w:rPr>
          <w:rFonts w:ascii="宋体" w:hAnsi="宋体" w:eastAsia="宋体" w:cs="Times New Roman"/>
          <w:sz w:val="21"/>
          <w14:ligatures w14:val="none"/>
        </w:rPr>
      </w:pPr>
    </w:p>
    <w:p w14:paraId="65301C28">
      <w:pPr>
        <w:spacing w:after="0" w:line="360" w:lineRule="auto"/>
        <w:jc w:val="both"/>
        <w:rPr>
          <w:rFonts w:hint="eastAsia" w:ascii="宋体" w:hAnsi="宋体" w:eastAsia="宋体" w:cs="Courier New"/>
          <w:sz w:val="24"/>
          <w:szCs w:val="21"/>
          <w14:ligatures w14:val="none"/>
        </w:rPr>
      </w:pPr>
      <w:r>
        <w:rPr>
          <w:rFonts w:ascii="宋体" w:hAnsi="宋体" w:eastAsia="宋体" w:cs="Courier New"/>
          <w:sz w:val="21"/>
          <w:szCs w:val="21"/>
          <w14:ligatures w14:val="none"/>
        </w:rPr>
        <w:br w:type="page"/>
      </w:r>
      <w:r>
        <w:rPr>
          <w:rFonts w:hint="eastAsia" w:ascii="宋体" w:hAnsi="宋体" w:eastAsia="宋体" w:cs="Courier New"/>
          <w:sz w:val="24"/>
          <w:szCs w:val="21"/>
          <w14:ligatures w14:val="none"/>
        </w:rPr>
        <w:t>具体评分标准如下：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74"/>
        <w:gridCol w:w="853"/>
        <w:gridCol w:w="875"/>
        <w:gridCol w:w="1331"/>
        <w:gridCol w:w="685"/>
        <w:gridCol w:w="3498"/>
      </w:tblGrid>
      <w:tr w14:paraId="0EAD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646" w:type="pct"/>
            <w:vAlign w:val="center"/>
          </w:tcPr>
          <w:p w14:paraId="01B50F3D">
            <w:pPr>
              <w:spacing w:after="0" w:line="240" w:lineRule="auto"/>
              <w:jc w:val="center"/>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条款号</w:t>
            </w:r>
          </w:p>
        </w:tc>
        <w:tc>
          <w:tcPr>
            <w:tcW w:w="513" w:type="pct"/>
            <w:vAlign w:val="center"/>
          </w:tcPr>
          <w:p w14:paraId="1A164F6F">
            <w:pPr>
              <w:snapToGrid w:val="0"/>
              <w:spacing w:after="0" w:line="240" w:lineRule="auto"/>
              <w:jc w:val="center"/>
              <w:rPr>
                <w:rFonts w:ascii="宋体" w:hAnsi="宋体" w:eastAsia="宋体" w:cs="Times New Roman"/>
                <w:b/>
                <w:spacing w:val="-6"/>
                <w:sz w:val="21"/>
                <w:szCs w:val="21"/>
                <w14:ligatures w14:val="none"/>
              </w:rPr>
            </w:pPr>
            <w:r>
              <w:rPr>
                <w:rFonts w:hint="eastAsia" w:ascii="宋体" w:hAnsi="宋体" w:eastAsia="宋体" w:cs="Times New Roman"/>
                <w:b/>
                <w:spacing w:val="-6"/>
                <w:sz w:val="21"/>
                <w:szCs w:val="21"/>
                <w14:ligatures w14:val="none"/>
              </w:rPr>
              <w:t>评分因素</w:t>
            </w:r>
          </w:p>
        </w:tc>
        <w:tc>
          <w:tcPr>
            <w:tcW w:w="526" w:type="pct"/>
            <w:vAlign w:val="center"/>
          </w:tcPr>
          <w:p w14:paraId="64F2189C">
            <w:pPr>
              <w:snapToGrid w:val="0"/>
              <w:spacing w:after="0" w:line="240" w:lineRule="auto"/>
              <w:jc w:val="center"/>
              <w:rPr>
                <w:rFonts w:ascii="宋体" w:hAnsi="宋体" w:eastAsia="宋体" w:cs="Times New Roman"/>
                <w:b/>
                <w:spacing w:val="-6"/>
                <w:sz w:val="21"/>
                <w:szCs w:val="21"/>
                <w14:ligatures w14:val="none"/>
              </w:rPr>
            </w:pPr>
            <w:r>
              <w:rPr>
                <w:rFonts w:hint="eastAsia" w:ascii="宋体" w:hAnsi="宋体" w:eastAsia="宋体" w:cs="Times New Roman"/>
                <w:b/>
                <w:spacing w:val="-6"/>
                <w:sz w:val="21"/>
                <w:szCs w:val="21"/>
                <w14:ligatures w14:val="none"/>
              </w:rPr>
              <w:t>分值</w:t>
            </w:r>
          </w:p>
        </w:tc>
        <w:tc>
          <w:tcPr>
            <w:tcW w:w="800" w:type="pct"/>
            <w:vAlign w:val="center"/>
          </w:tcPr>
          <w:p w14:paraId="36A70DDC">
            <w:pPr>
              <w:snapToGrid w:val="0"/>
              <w:spacing w:after="0" w:line="240" w:lineRule="auto"/>
              <w:jc w:val="center"/>
              <w:rPr>
                <w:rFonts w:ascii="宋体" w:hAnsi="宋体" w:eastAsia="宋体" w:cs="Times New Roman"/>
                <w:b/>
                <w:spacing w:val="-6"/>
                <w:sz w:val="21"/>
                <w:szCs w:val="21"/>
                <w14:ligatures w14:val="none"/>
              </w:rPr>
            </w:pPr>
            <w:r>
              <w:rPr>
                <w:rFonts w:hint="eastAsia" w:ascii="宋体" w:hAnsi="宋体" w:eastAsia="宋体" w:cs="Times New Roman"/>
                <w:b/>
                <w:spacing w:val="-6"/>
                <w:sz w:val="21"/>
                <w:szCs w:val="21"/>
                <w14:ligatures w14:val="none"/>
              </w:rPr>
              <w:t>评分因素细分项</w:t>
            </w:r>
          </w:p>
        </w:tc>
        <w:tc>
          <w:tcPr>
            <w:tcW w:w="412" w:type="pct"/>
            <w:vAlign w:val="center"/>
          </w:tcPr>
          <w:p w14:paraId="41CB8E0F">
            <w:pPr>
              <w:snapToGrid w:val="0"/>
              <w:spacing w:after="0" w:line="240" w:lineRule="auto"/>
              <w:jc w:val="center"/>
              <w:rPr>
                <w:rFonts w:ascii="宋体" w:hAnsi="宋体" w:eastAsia="宋体" w:cs="Times New Roman"/>
                <w:b/>
                <w:spacing w:val="-6"/>
                <w:sz w:val="21"/>
                <w:szCs w:val="21"/>
                <w14:ligatures w14:val="none"/>
              </w:rPr>
            </w:pPr>
            <w:r>
              <w:rPr>
                <w:rFonts w:hint="eastAsia" w:ascii="宋体" w:hAnsi="宋体" w:eastAsia="宋体" w:cs="Times New Roman"/>
                <w:b/>
                <w:spacing w:val="-6"/>
                <w:sz w:val="21"/>
                <w:szCs w:val="21"/>
                <w14:ligatures w14:val="none"/>
              </w:rPr>
              <w:t>分值</w:t>
            </w:r>
          </w:p>
        </w:tc>
        <w:tc>
          <w:tcPr>
            <w:tcW w:w="2103" w:type="pct"/>
            <w:vAlign w:val="center"/>
          </w:tcPr>
          <w:p w14:paraId="3915A6D2">
            <w:pPr>
              <w:snapToGrid w:val="0"/>
              <w:spacing w:after="0" w:line="240" w:lineRule="auto"/>
              <w:jc w:val="center"/>
              <w:rPr>
                <w:rFonts w:ascii="宋体" w:hAnsi="宋体" w:eastAsia="宋体" w:cs="Times New Roman"/>
                <w:b/>
                <w:spacing w:val="-6"/>
                <w:sz w:val="21"/>
                <w:szCs w:val="21"/>
                <w14:ligatures w14:val="none"/>
              </w:rPr>
            </w:pPr>
            <w:r>
              <w:rPr>
                <w:rFonts w:hint="eastAsia" w:ascii="宋体" w:hAnsi="宋体" w:eastAsia="宋体" w:cs="Times New Roman"/>
                <w:b/>
                <w:spacing w:val="-6"/>
                <w:sz w:val="21"/>
                <w:szCs w:val="21"/>
                <w14:ligatures w14:val="none"/>
              </w:rPr>
              <w:t>评分标准</w:t>
            </w:r>
          </w:p>
        </w:tc>
      </w:tr>
      <w:tr w14:paraId="464D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646" w:type="pct"/>
            <w:vMerge w:val="restart"/>
            <w:vAlign w:val="center"/>
          </w:tcPr>
          <w:p w14:paraId="37661255">
            <w:pPr>
              <w:spacing w:before="156" w:beforeLines="50" w:after="156" w:afterLines="50" w:line="240" w:lineRule="auto"/>
              <w:ind w:right="113"/>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2.2.4(1)</w:t>
            </w:r>
          </w:p>
        </w:tc>
        <w:tc>
          <w:tcPr>
            <w:tcW w:w="513" w:type="pct"/>
            <w:vMerge w:val="restart"/>
            <w:vAlign w:val="center"/>
          </w:tcPr>
          <w:p w14:paraId="61DA1122">
            <w:pPr>
              <w:spacing w:before="156" w:beforeLines="50" w:after="156" w:afterLines="50" w:line="240" w:lineRule="auto"/>
              <w:ind w:right="113"/>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养护实施方案</w:t>
            </w:r>
          </w:p>
        </w:tc>
        <w:tc>
          <w:tcPr>
            <w:tcW w:w="526" w:type="pct"/>
            <w:vMerge w:val="restart"/>
            <w:vAlign w:val="center"/>
          </w:tcPr>
          <w:p w14:paraId="05D01F6B">
            <w:pPr>
              <w:spacing w:before="156" w:beforeLines="50" w:after="156" w:afterLines="50" w:line="240" w:lineRule="auto"/>
              <w:ind w:right="113"/>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30分</w:t>
            </w:r>
          </w:p>
        </w:tc>
        <w:tc>
          <w:tcPr>
            <w:tcW w:w="800" w:type="pct"/>
            <w:vMerge w:val="restart"/>
            <w:vAlign w:val="center"/>
          </w:tcPr>
          <w:p w14:paraId="1C520C16">
            <w:pPr>
              <w:spacing w:before="156" w:beforeLines="50" w:after="156" w:afterLines="50" w:line="240" w:lineRule="auto"/>
              <w:ind w:right="113"/>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总体人员配备及总体机械设备配备计划</w:t>
            </w:r>
          </w:p>
        </w:tc>
        <w:tc>
          <w:tcPr>
            <w:tcW w:w="412" w:type="pct"/>
            <w:vMerge w:val="restart"/>
            <w:vAlign w:val="center"/>
          </w:tcPr>
          <w:p w14:paraId="12A67506">
            <w:pPr>
              <w:spacing w:after="0" w:line="240" w:lineRule="auto"/>
              <w:jc w:val="center"/>
              <w:rPr>
                <w:rFonts w:ascii="宋体" w:hAnsi="宋体" w:eastAsia="宋体" w:cs="Times New Roman"/>
                <w:sz w:val="21"/>
                <w14:ligatures w14:val="none"/>
              </w:rPr>
            </w:pPr>
            <w:r>
              <w:rPr>
                <w:rFonts w:hint="eastAsia" w:ascii="宋体" w:hAnsi="宋体" w:eastAsia="宋体" w:cs="Times New Roman"/>
                <w:sz w:val="21"/>
                <w:szCs w:val="21"/>
                <w14:ligatures w14:val="none"/>
              </w:rPr>
              <w:t>5分</w:t>
            </w:r>
          </w:p>
        </w:tc>
        <w:tc>
          <w:tcPr>
            <w:tcW w:w="2103" w:type="pct"/>
            <w:vAlign w:val="center"/>
          </w:tcPr>
          <w:p w14:paraId="16E4102B">
            <w:pPr>
              <w:spacing w:after="0" w:line="276" w:lineRule="auto"/>
              <w:rPr>
                <w:rFonts w:ascii="宋体" w:hAnsi="宋体" w:eastAsia="宋体" w:cs="Times New Roman"/>
                <w:sz w:val="21"/>
                <w:szCs w:val="21"/>
                <w14:ligatures w14:val="none"/>
              </w:rPr>
            </w:pPr>
            <w:r>
              <w:rPr>
                <w:rFonts w:hint="eastAsia" w:ascii="宋体" w:hAnsi="宋体" w:eastAsia="宋体" w:cs="Times New Roman"/>
                <w:sz w:val="21"/>
                <w:szCs w:val="21"/>
                <w14:ligatures w14:val="none"/>
              </w:rPr>
              <w:t>人员、机械设备配置科学合理，得4.1-5分</w:t>
            </w:r>
          </w:p>
        </w:tc>
      </w:tr>
      <w:tr w14:paraId="1397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646" w:type="pct"/>
            <w:vMerge w:val="continue"/>
            <w:vAlign w:val="center"/>
          </w:tcPr>
          <w:p w14:paraId="13719A17">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513" w:type="pct"/>
            <w:vMerge w:val="continue"/>
            <w:vAlign w:val="center"/>
          </w:tcPr>
          <w:p w14:paraId="0831247F">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526" w:type="pct"/>
            <w:vMerge w:val="continue"/>
            <w:vAlign w:val="center"/>
          </w:tcPr>
          <w:p w14:paraId="6051E231">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800" w:type="pct"/>
            <w:vMerge w:val="continue"/>
            <w:vAlign w:val="center"/>
          </w:tcPr>
          <w:p w14:paraId="405F6BA2">
            <w:pPr>
              <w:spacing w:before="156" w:beforeLines="50" w:after="156" w:afterLines="50" w:line="240" w:lineRule="auto"/>
              <w:ind w:right="113"/>
              <w:jc w:val="center"/>
              <w:rPr>
                <w:rFonts w:hint="eastAsia" w:ascii="宋体" w:hAnsi="宋体" w:eastAsia="宋体" w:cs="Times New Roman"/>
                <w:spacing w:val="-6"/>
                <w:sz w:val="21"/>
                <w:szCs w:val="21"/>
                <w14:ligatures w14:val="none"/>
              </w:rPr>
            </w:pPr>
          </w:p>
        </w:tc>
        <w:tc>
          <w:tcPr>
            <w:tcW w:w="412" w:type="pct"/>
            <w:vMerge w:val="continue"/>
            <w:vAlign w:val="center"/>
          </w:tcPr>
          <w:p w14:paraId="27B10D08">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2103" w:type="pct"/>
            <w:vAlign w:val="center"/>
          </w:tcPr>
          <w:p w14:paraId="4E4DA3F4">
            <w:pPr>
              <w:spacing w:after="0" w:line="320" w:lineRule="exact"/>
              <w:rPr>
                <w:rFonts w:hint="eastAsia" w:ascii="宋体" w:hAnsi="宋体" w:eastAsia="宋体" w:cs="宋体"/>
                <w:bCs/>
                <w:sz w:val="21"/>
                <w:szCs w:val="21"/>
                <w14:ligatures w14:val="none"/>
              </w:rPr>
            </w:pPr>
            <w:r>
              <w:rPr>
                <w:rFonts w:hint="eastAsia" w:ascii="宋体" w:hAnsi="宋体" w:eastAsia="宋体" w:cs="Times New Roman"/>
                <w:sz w:val="21"/>
                <w:szCs w:val="21"/>
                <w14:ligatures w14:val="none"/>
              </w:rPr>
              <w:t xml:space="preserve">人员、机械设备配置较合理，得3.1-4.0分 </w:t>
            </w:r>
          </w:p>
        </w:tc>
      </w:tr>
      <w:tr w14:paraId="408B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46" w:type="pct"/>
            <w:vMerge w:val="continue"/>
            <w:vAlign w:val="center"/>
          </w:tcPr>
          <w:p w14:paraId="3A574626">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513" w:type="pct"/>
            <w:vMerge w:val="continue"/>
            <w:vAlign w:val="center"/>
          </w:tcPr>
          <w:p w14:paraId="412B04E2">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526" w:type="pct"/>
            <w:vMerge w:val="continue"/>
            <w:vAlign w:val="center"/>
          </w:tcPr>
          <w:p w14:paraId="2A672D37">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800" w:type="pct"/>
            <w:vMerge w:val="continue"/>
            <w:vAlign w:val="center"/>
          </w:tcPr>
          <w:p w14:paraId="533E6C06">
            <w:pPr>
              <w:spacing w:before="156" w:beforeLines="50" w:after="156" w:afterLines="50" w:line="240" w:lineRule="auto"/>
              <w:ind w:right="113"/>
              <w:jc w:val="center"/>
              <w:rPr>
                <w:rFonts w:hint="eastAsia" w:ascii="宋体" w:hAnsi="宋体" w:eastAsia="宋体" w:cs="Times New Roman"/>
                <w:spacing w:val="-6"/>
                <w:sz w:val="21"/>
                <w:szCs w:val="21"/>
                <w14:ligatures w14:val="none"/>
              </w:rPr>
            </w:pPr>
          </w:p>
        </w:tc>
        <w:tc>
          <w:tcPr>
            <w:tcW w:w="412" w:type="pct"/>
            <w:vMerge w:val="continue"/>
            <w:vAlign w:val="center"/>
          </w:tcPr>
          <w:p w14:paraId="1CC3023D">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2103" w:type="pct"/>
            <w:vAlign w:val="center"/>
          </w:tcPr>
          <w:p w14:paraId="0039B2C2">
            <w:pPr>
              <w:spacing w:after="0" w:line="320" w:lineRule="exact"/>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人员、机械设备配置基本满足需要，得3.0分</w:t>
            </w:r>
          </w:p>
        </w:tc>
      </w:tr>
      <w:tr w14:paraId="60E5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646" w:type="pct"/>
            <w:vMerge w:val="continue"/>
            <w:vAlign w:val="center"/>
          </w:tcPr>
          <w:p w14:paraId="40BD1087">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513" w:type="pct"/>
            <w:vMerge w:val="continue"/>
            <w:vAlign w:val="center"/>
          </w:tcPr>
          <w:p w14:paraId="302FF3CB">
            <w:pPr>
              <w:spacing w:before="156" w:beforeLines="50" w:after="156" w:afterLines="50" w:line="240" w:lineRule="auto"/>
              <w:ind w:right="113"/>
              <w:jc w:val="both"/>
              <w:rPr>
                <w:rFonts w:hint="eastAsia" w:ascii="宋体" w:hAnsi="宋体" w:eastAsia="宋体" w:cs="Times New Roman"/>
                <w:sz w:val="21"/>
                <w:szCs w:val="21"/>
                <w14:ligatures w14:val="none"/>
              </w:rPr>
            </w:pPr>
          </w:p>
        </w:tc>
        <w:tc>
          <w:tcPr>
            <w:tcW w:w="526" w:type="pct"/>
            <w:vMerge w:val="continue"/>
            <w:vAlign w:val="center"/>
          </w:tcPr>
          <w:p w14:paraId="3AA88A0A">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800" w:type="pct"/>
            <w:vMerge w:val="restart"/>
            <w:vAlign w:val="center"/>
          </w:tcPr>
          <w:p w14:paraId="6EC46C8F">
            <w:pPr>
              <w:spacing w:before="156" w:beforeLines="50" w:after="156" w:afterLines="50" w:line="240" w:lineRule="auto"/>
              <w:ind w:right="113"/>
              <w:jc w:val="center"/>
              <w:rPr>
                <w:rFonts w:hint="eastAsia" w:ascii="宋体" w:hAnsi="宋体" w:eastAsia="宋体" w:cs="Times New Roman"/>
                <w:sz w:val="21"/>
                <w:szCs w:val="21"/>
                <w14:ligatures w14:val="none"/>
              </w:rPr>
            </w:pPr>
            <w:r>
              <w:rPr>
                <w:rFonts w:hint="eastAsia" w:ascii="宋体" w:hAnsi="宋体" w:eastAsia="宋体" w:cs="Times New Roman"/>
                <w:spacing w:val="-6"/>
                <w:sz w:val="21"/>
                <w:szCs w:val="21"/>
                <w14:ligatures w14:val="none"/>
              </w:rPr>
              <w:t>养护实施具体方案</w:t>
            </w:r>
          </w:p>
        </w:tc>
        <w:tc>
          <w:tcPr>
            <w:tcW w:w="412" w:type="pct"/>
            <w:vMerge w:val="restart"/>
            <w:vAlign w:val="center"/>
          </w:tcPr>
          <w:p w14:paraId="00859C5E">
            <w:pPr>
              <w:spacing w:before="156" w:beforeLines="50" w:after="156" w:afterLines="50" w:line="240" w:lineRule="auto"/>
              <w:ind w:right="113"/>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10分</w:t>
            </w:r>
          </w:p>
        </w:tc>
        <w:tc>
          <w:tcPr>
            <w:tcW w:w="2103" w:type="pct"/>
            <w:vAlign w:val="center"/>
          </w:tcPr>
          <w:p w14:paraId="20CC83B7">
            <w:pPr>
              <w:spacing w:after="0" w:line="320" w:lineRule="exact"/>
              <w:rPr>
                <w:rFonts w:hint="eastAsia" w:ascii="宋体" w:hAnsi="宋体" w:eastAsia="宋体" w:cs="Times New Roman"/>
                <w:spacing w:val="12"/>
                <w:sz w:val="21"/>
                <w:szCs w:val="21"/>
                <w14:ligatures w14:val="none"/>
              </w:rPr>
            </w:pPr>
            <w:r>
              <w:rPr>
                <w:rFonts w:hint="eastAsia" w:ascii="宋体" w:hAnsi="宋体" w:eastAsia="宋体" w:cs="宋体"/>
                <w:bCs/>
                <w:sz w:val="21"/>
                <w:szCs w:val="21"/>
                <w14:ligatures w14:val="none"/>
              </w:rPr>
              <w:t>方案科学合理、可行性高，得8.1</w:t>
            </w:r>
            <w:r>
              <w:rPr>
                <w:rFonts w:ascii="宋体" w:hAnsi="宋体" w:eastAsia="宋体" w:cs="宋体"/>
                <w:bCs/>
                <w:sz w:val="21"/>
                <w:szCs w:val="21"/>
                <w14:ligatures w14:val="none"/>
              </w:rPr>
              <w:t>-</w:t>
            </w:r>
            <w:r>
              <w:rPr>
                <w:rFonts w:hint="eastAsia" w:ascii="宋体" w:hAnsi="宋体" w:eastAsia="宋体" w:cs="宋体"/>
                <w:bCs/>
                <w:sz w:val="21"/>
                <w:szCs w:val="21"/>
                <w14:ligatures w14:val="none"/>
              </w:rPr>
              <w:t>10分</w:t>
            </w:r>
          </w:p>
        </w:tc>
      </w:tr>
      <w:tr w14:paraId="2BDC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646" w:type="pct"/>
            <w:vMerge w:val="continue"/>
            <w:vAlign w:val="center"/>
          </w:tcPr>
          <w:p w14:paraId="6749D671">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513" w:type="pct"/>
            <w:vMerge w:val="continue"/>
            <w:vAlign w:val="center"/>
          </w:tcPr>
          <w:p w14:paraId="16B4AA09">
            <w:pPr>
              <w:spacing w:before="156" w:beforeLines="50" w:after="156" w:afterLines="50" w:line="240" w:lineRule="auto"/>
              <w:ind w:right="113"/>
              <w:jc w:val="both"/>
              <w:rPr>
                <w:rFonts w:hint="eastAsia" w:ascii="宋体" w:hAnsi="宋体" w:eastAsia="宋体" w:cs="Times New Roman"/>
                <w:sz w:val="21"/>
                <w:szCs w:val="21"/>
                <w14:ligatures w14:val="none"/>
              </w:rPr>
            </w:pPr>
          </w:p>
        </w:tc>
        <w:tc>
          <w:tcPr>
            <w:tcW w:w="526" w:type="pct"/>
            <w:vMerge w:val="continue"/>
            <w:vAlign w:val="center"/>
          </w:tcPr>
          <w:p w14:paraId="2BEBCDD9">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800" w:type="pct"/>
            <w:vMerge w:val="continue"/>
            <w:vAlign w:val="center"/>
          </w:tcPr>
          <w:p w14:paraId="1044C89D">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412" w:type="pct"/>
            <w:vMerge w:val="continue"/>
            <w:vAlign w:val="center"/>
          </w:tcPr>
          <w:p w14:paraId="39D0ED27">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2103" w:type="pct"/>
            <w:vAlign w:val="center"/>
          </w:tcPr>
          <w:p w14:paraId="1F26BAE6">
            <w:pPr>
              <w:spacing w:after="0" w:line="240" w:lineRule="auto"/>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方案科学较合理、可行性较高，得6</w:t>
            </w:r>
            <w:r>
              <w:rPr>
                <w:rFonts w:ascii="宋体" w:hAnsi="宋体" w:eastAsia="宋体" w:cs="宋体"/>
                <w:bCs/>
                <w:sz w:val="21"/>
                <w:szCs w:val="21"/>
                <w14:ligatures w14:val="none"/>
              </w:rPr>
              <w:t>.1-</w:t>
            </w:r>
            <w:r>
              <w:rPr>
                <w:rFonts w:hint="eastAsia" w:ascii="宋体" w:hAnsi="宋体" w:eastAsia="宋体" w:cs="宋体"/>
                <w:bCs/>
                <w:sz w:val="21"/>
                <w:szCs w:val="21"/>
                <w14:ligatures w14:val="none"/>
              </w:rPr>
              <w:t>8.0分</w:t>
            </w:r>
          </w:p>
        </w:tc>
      </w:tr>
      <w:tr w14:paraId="1C67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646" w:type="pct"/>
            <w:vMerge w:val="continue"/>
            <w:vAlign w:val="center"/>
          </w:tcPr>
          <w:p w14:paraId="52857CF3">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513" w:type="pct"/>
            <w:vMerge w:val="continue"/>
            <w:vAlign w:val="center"/>
          </w:tcPr>
          <w:p w14:paraId="6617670B">
            <w:pPr>
              <w:spacing w:before="156" w:beforeLines="50" w:after="156" w:afterLines="50" w:line="240" w:lineRule="auto"/>
              <w:ind w:right="113"/>
              <w:jc w:val="both"/>
              <w:rPr>
                <w:rFonts w:hint="eastAsia" w:ascii="宋体" w:hAnsi="宋体" w:eastAsia="宋体" w:cs="Times New Roman"/>
                <w:sz w:val="21"/>
                <w:szCs w:val="21"/>
                <w14:ligatures w14:val="none"/>
              </w:rPr>
            </w:pPr>
          </w:p>
        </w:tc>
        <w:tc>
          <w:tcPr>
            <w:tcW w:w="526" w:type="pct"/>
            <w:vMerge w:val="continue"/>
            <w:vAlign w:val="center"/>
          </w:tcPr>
          <w:p w14:paraId="2AD8F900">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800" w:type="pct"/>
            <w:vMerge w:val="continue"/>
            <w:vAlign w:val="center"/>
          </w:tcPr>
          <w:p w14:paraId="60D52CF8">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412" w:type="pct"/>
            <w:vMerge w:val="continue"/>
            <w:vAlign w:val="center"/>
          </w:tcPr>
          <w:p w14:paraId="6D2B1A3B">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2103" w:type="pct"/>
            <w:vAlign w:val="center"/>
          </w:tcPr>
          <w:p w14:paraId="299A381B">
            <w:pPr>
              <w:spacing w:after="0" w:line="240" w:lineRule="auto"/>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方案一般、基本满足要求，得6分</w:t>
            </w:r>
          </w:p>
        </w:tc>
      </w:tr>
      <w:tr w14:paraId="17E7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exact"/>
          <w:jc w:val="center"/>
        </w:trPr>
        <w:tc>
          <w:tcPr>
            <w:tcW w:w="646" w:type="pct"/>
            <w:vMerge w:val="continue"/>
            <w:vAlign w:val="center"/>
          </w:tcPr>
          <w:p w14:paraId="3B98CA4F">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513" w:type="pct"/>
            <w:vMerge w:val="continue"/>
            <w:vAlign w:val="center"/>
          </w:tcPr>
          <w:p w14:paraId="6F961E39">
            <w:pPr>
              <w:spacing w:before="156" w:beforeLines="50" w:after="156" w:afterLines="50" w:line="240" w:lineRule="auto"/>
              <w:ind w:right="113"/>
              <w:jc w:val="both"/>
              <w:rPr>
                <w:rFonts w:hint="eastAsia" w:ascii="宋体" w:hAnsi="宋体" w:eastAsia="宋体" w:cs="Times New Roman"/>
                <w:sz w:val="21"/>
                <w:szCs w:val="21"/>
                <w14:ligatures w14:val="none"/>
              </w:rPr>
            </w:pPr>
          </w:p>
        </w:tc>
        <w:tc>
          <w:tcPr>
            <w:tcW w:w="526" w:type="pct"/>
            <w:vMerge w:val="continue"/>
            <w:vAlign w:val="center"/>
          </w:tcPr>
          <w:p w14:paraId="6D1275A1">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800" w:type="pct"/>
            <w:vMerge w:val="restart"/>
            <w:vAlign w:val="center"/>
          </w:tcPr>
          <w:p w14:paraId="78378451">
            <w:pPr>
              <w:spacing w:before="156" w:beforeLines="50" w:after="156" w:afterLines="50" w:line="240" w:lineRule="auto"/>
              <w:ind w:right="113"/>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质量管理体系及保证措施</w:t>
            </w:r>
          </w:p>
        </w:tc>
        <w:tc>
          <w:tcPr>
            <w:tcW w:w="412" w:type="pct"/>
            <w:vMerge w:val="restart"/>
            <w:vAlign w:val="center"/>
          </w:tcPr>
          <w:p w14:paraId="04DC07BF">
            <w:pPr>
              <w:spacing w:before="156" w:beforeLines="50" w:after="156" w:afterLines="50" w:line="240" w:lineRule="auto"/>
              <w:ind w:right="113"/>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5分</w:t>
            </w:r>
          </w:p>
        </w:tc>
        <w:tc>
          <w:tcPr>
            <w:tcW w:w="2103" w:type="pct"/>
            <w:vAlign w:val="center"/>
          </w:tcPr>
          <w:p w14:paraId="0821E8A8">
            <w:pPr>
              <w:spacing w:after="0" w:line="240" w:lineRule="auto"/>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管理体系完善、保证措施合理，得4.1</w:t>
            </w:r>
            <w:r>
              <w:rPr>
                <w:rFonts w:ascii="宋体" w:hAnsi="宋体" w:eastAsia="宋体" w:cs="宋体"/>
                <w:bCs/>
                <w:sz w:val="21"/>
                <w:szCs w:val="21"/>
                <w14:ligatures w14:val="none"/>
              </w:rPr>
              <w:t>-</w:t>
            </w:r>
            <w:r>
              <w:rPr>
                <w:rFonts w:hint="eastAsia" w:ascii="宋体" w:hAnsi="宋体" w:eastAsia="宋体" w:cs="宋体"/>
                <w:bCs/>
                <w:sz w:val="21"/>
                <w:szCs w:val="21"/>
                <w14:ligatures w14:val="none"/>
              </w:rPr>
              <w:t>5分</w:t>
            </w:r>
          </w:p>
        </w:tc>
      </w:tr>
      <w:tr w14:paraId="3957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exact"/>
          <w:jc w:val="center"/>
        </w:trPr>
        <w:tc>
          <w:tcPr>
            <w:tcW w:w="646" w:type="pct"/>
            <w:vMerge w:val="continue"/>
            <w:vAlign w:val="center"/>
          </w:tcPr>
          <w:p w14:paraId="19B678A7">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513" w:type="pct"/>
            <w:vMerge w:val="continue"/>
            <w:vAlign w:val="center"/>
          </w:tcPr>
          <w:p w14:paraId="083F561E">
            <w:pPr>
              <w:spacing w:before="156" w:beforeLines="50" w:after="156" w:afterLines="50" w:line="240" w:lineRule="auto"/>
              <w:ind w:right="113"/>
              <w:jc w:val="both"/>
              <w:rPr>
                <w:rFonts w:hint="eastAsia" w:ascii="宋体" w:hAnsi="宋体" w:eastAsia="宋体" w:cs="Times New Roman"/>
                <w:sz w:val="21"/>
                <w:szCs w:val="21"/>
                <w14:ligatures w14:val="none"/>
              </w:rPr>
            </w:pPr>
          </w:p>
        </w:tc>
        <w:tc>
          <w:tcPr>
            <w:tcW w:w="526" w:type="pct"/>
            <w:vMerge w:val="continue"/>
            <w:vAlign w:val="center"/>
          </w:tcPr>
          <w:p w14:paraId="00D78043">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800" w:type="pct"/>
            <w:vMerge w:val="continue"/>
            <w:vAlign w:val="center"/>
          </w:tcPr>
          <w:p w14:paraId="66604921">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412" w:type="pct"/>
            <w:vMerge w:val="continue"/>
            <w:vAlign w:val="center"/>
          </w:tcPr>
          <w:p w14:paraId="16E25913">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2103" w:type="pct"/>
            <w:vAlign w:val="center"/>
          </w:tcPr>
          <w:p w14:paraId="047FE3EE">
            <w:pPr>
              <w:spacing w:after="0" w:line="240" w:lineRule="auto"/>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管理体系较完善、保证措施较合理，得3</w:t>
            </w:r>
            <w:r>
              <w:rPr>
                <w:rFonts w:ascii="宋体" w:hAnsi="宋体" w:eastAsia="宋体" w:cs="宋体"/>
                <w:bCs/>
                <w:sz w:val="21"/>
                <w:szCs w:val="21"/>
                <w14:ligatures w14:val="none"/>
              </w:rPr>
              <w:t>.1-</w:t>
            </w:r>
            <w:r>
              <w:rPr>
                <w:rFonts w:hint="eastAsia" w:ascii="宋体" w:hAnsi="宋体" w:eastAsia="宋体" w:cs="宋体"/>
                <w:bCs/>
                <w:sz w:val="21"/>
                <w:szCs w:val="21"/>
                <w14:ligatures w14:val="none"/>
              </w:rPr>
              <w:t>4.0分</w:t>
            </w:r>
          </w:p>
        </w:tc>
      </w:tr>
      <w:tr w14:paraId="0BF2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exact"/>
          <w:jc w:val="center"/>
        </w:trPr>
        <w:tc>
          <w:tcPr>
            <w:tcW w:w="646" w:type="pct"/>
            <w:vMerge w:val="continue"/>
            <w:vAlign w:val="center"/>
          </w:tcPr>
          <w:p w14:paraId="795A2F50">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513" w:type="pct"/>
            <w:vMerge w:val="continue"/>
            <w:vAlign w:val="center"/>
          </w:tcPr>
          <w:p w14:paraId="13D61164">
            <w:pPr>
              <w:spacing w:before="156" w:beforeLines="50" w:after="156" w:afterLines="50" w:line="240" w:lineRule="auto"/>
              <w:ind w:right="113"/>
              <w:jc w:val="both"/>
              <w:rPr>
                <w:rFonts w:hint="eastAsia" w:ascii="宋体" w:hAnsi="宋体" w:eastAsia="宋体" w:cs="Times New Roman"/>
                <w:sz w:val="21"/>
                <w:szCs w:val="21"/>
                <w14:ligatures w14:val="none"/>
              </w:rPr>
            </w:pPr>
          </w:p>
        </w:tc>
        <w:tc>
          <w:tcPr>
            <w:tcW w:w="526" w:type="pct"/>
            <w:vMerge w:val="continue"/>
            <w:vAlign w:val="center"/>
          </w:tcPr>
          <w:p w14:paraId="1665F096">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800" w:type="pct"/>
            <w:vMerge w:val="continue"/>
            <w:vAlign w:val="center"/>
          </w:tcPr>
          <w:p w14:paraId="5FCB7A5D">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412" w:type="pct"/>
            <w:vMerge w:val="continue"/>
            <w:vAlign w:val="center"/>
          </w:tcPr>
          <w:p w14:paraId="1C2233C1">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2103" w:type="pct"/>
            <w:vAlign w:val="center"/>
          </w:tcPr>
          <w:p w14:paraId="67283127">
            <w:pPr>
              <w:spacing w:after="0" w:line="240" w:lineRule="auto"/>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管理体系一般、保证措施一般，得3分</w:t>
            </w:r>
          </w:p>
        </w:tc>
      </w:tr>
      <w:tr w14:paraId="45B7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exact"/>
          <w:jc w:val="center"/>
        </w:trPr>
        <w:tc>
          <w:tcPr>
            <w:tcW w:w="646" w:type="pct"/>
            <w:vMerge w:val="continue"/>
            <w:vAlign w:val="center"/>
          </w:tcPr>
          <w:p w14:paraId="7349A703">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513" w:type="pct"/>
            <w:vMerge w:val="continue"/>
            <w:vAlign w:val="center"/>
          </w:tcPr>
          <w:p w14:paraId="6B992123">
            <w:pPr>
              <w:spacing w:before="156" w:beforeLines="50" w:after="156" w:afterLines="50" w:line="240" w:lineRule="auto"/>
              <w:ind w:right="113"/>
              <w:jc w:val="both"/>
              <w:rPr>
                <w:rFonts w:hint="eastAsia" w:ascii="宋体" w:hAnsi="宋体" w:eastAsia="宋体" w:cs="Times New Roman"/>
                <w:sz w:val="21"/>
                <w:szCs w:val="21"/>
                <w14:ligatures w14:val="none"/>
              </w:rPr>
            </w:pPr>
          </w:p>
        </w:tc>
        <w:tc>
          <w:tcPr>
            <w:tcW w:w="526" w:type="pct"/>
            <w:vMerge w:val="continue"/>
            <w:vAlign w:val="center"/>
          </w:tcPr>
          <w:p w14:paraId="6C993013">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800" w:type="pct"/>
            <w:vMerge w:val="restart"/>
            <w:vAlign w:val="center"/>
          </w:tcPr>
          <w:p w14:paraId="4BD64C8D">
            <w:pPr>
              <w:spacing w:before="156" w:beforeLines="50" w:after="156" w:afterLines="50" w:line="240" w:lineRule="auto"/>
              <w:ind w:right="113"/>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安全生产管理体系及保证措施</w:t>
            </w:r>
          </w:p>
        </w:tc>
        <w:tc>
          <w:tcPr>
            <w:tcW w:w="412" w:type="pct"/>
            <w:vMerge w:val="restart"/>
            <w:vAlign w:val="center"/>
          </w:tcPr>
          <w:p w14:paraId="77439C9A">
            <w:pPr>
              <w:spacing w:after="0" w:line="240" w:lineRule="auto"/>
              <w:jc w:val="center"/>
              <w:rPr>
                <w:rFonts w:ascii="宋体" w:hAnsi="宋体" w:eastAsia="宋体" w:cs="Times New Roman"/>
                <w:sz w:val="21"/>
                <w14:ligatures w14:val="none"/>
              </w:rPr>
            </w:pPr>
            <w:r>
              <w:rPr>
                <w:rFonts w:hint="eastAsia" w:ascii="宋体" w:hAnsi="宋体" w:eastAsia="宋体" w:cs="Times New Roman"/>
                <w:sz w:val="21"/>
                <w:szCs w:val="21"/>
                <w14:ligatures w14:val="none"/>
              </w:rPr>
              <w:t>5分</w:t>
            </w:r>
          </w:p>
        </w:tc>
        <w:tc>
          <w:tcPr>
            <w:tcW w:w="2103" w:type="pct"/>
            <w:vAlign w:val="center"/>
          </w:tcPr>
          <w:p w14:paraId="77DBC8E9">
            <w:pPr>
              <w:spacing w:after="0" w:line="240" w:lineRule="auto"/>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管理体系完善、保证措施合理，得4.1</w:t>
            </w:r>
            <w:r>
              <w:rPr>
                <w:rFonts w:ascii="宋体" w:hAnsi="宋体" w:eastAsia="宋体" w:cs="宋体"/>
                <w:bCs/>
                <w:sz w:val="21"/>
                <w:szCs w:val="21"/>
                <w14:ligatures w14:val="none"/>
              </w:rPr>
              <w:t>-</w:t>
            </w:r>
            <w:r>
              <w:rPr>
                <w:rFonts w:hint="eastAsia" w:ascii="宋体" w:hAnsi="宋体" w:eastAsia="宋体" w:cs="宋体"/>
                <w:bCs/>
                <w:sz w:val="21"/>
                <w:szCs w:val="21"/>
                <w14:ligatures w14:val="none"/>
              </w:rPr>
              <w:t>5分</w:t>
            </w:r>
          </w:p>
        </w:tc>
      </w:tr>
      <w:tr w14:paraId="4190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exact"/>
          <w:jc w:val="center"/>
        </w:trPr>
        <w:tc>
          <w:tcPr>
            <w:tcW w:w="646" w:type="pct"/>
            <w:vMerge w:val="continue"/>
            <w:vAlign w:val="center"/>
          </w:tcPr>
          <w:p w14:paraId="2EC2DDFE">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513" w:type="pct"/>
            <w:vMerge w:val="continue"/>
            <w:vAlign w:val="center"/>
          </w:tcPr>
          <w:p w14:paraId="04CB33F1">
            <w:pPr>
              <w:spacing w:before="156" w:beforeLines="50" w:after="156" w:afterLines="50" w:line="240" w:lineRule="auto"/>
              <w:ind w:right="113"/>
              <w:jc w:val="both"/>
              <w:rPr>
                <w:rFonts w:hint="eastAsia" w:ascii="宋体" w:hAnsi="宋体" w:eastAsia="宋体" w:cs="Times New Roman"/>
                <w:sz w:val="21"/>
                <w:szCs w:val="21"/>
                <w14:ligatures w14:val="none"/>
              </w:rPr>
            </w:pPr>
          </w:p>
        </w:tc>
        <w:tc>
          <w:tcPr>
            <w:tcW w:w="526" w:type="pct"/>
            <w:vMerge w:val="continue"/>
            <w:vAlign w:val="center"/>
          </w:tcPr>
          <w:p w14:paraId="02944FCA">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800" w:type="pct"/>
            <w:vMerge w:val="continue"/>
            <w:vAlign w:val="center"/>
          </w:tcPr>
          <w:p w14:paraId="0EC5A472">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412" w:type="pct"/>
            <w:vMerge w:val="continue"/>
            <w:vAlign w:val="center"/>
          </w:tcPr>
          <w:p w14:paraId="4F425566">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2103" w:type="pct"/>
            <w:vAlign w:val="center"/>
          </w:tcPr>
          <w:p w14:paraId="3ED30C70">
            <w:pPr>
              <w:spacing w:after="0" w:line="240" w:lineRule="auto"/>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管理体系较完善、保证措施较合理，得3</w:t>
            </w:r>
            <w:r>
              <w:rPr>
                <w:rFonts w:ascii="宋体" w:hAnsi="宋体" w:eastAsia="宋体" w:cs="宋体"/>
                <w:bCs/>
                <w:sz w:val="21"/>
                <w:szCs w:val="21"/>
                <w14:ligatures w14:val="none"/>
              </w:rPr>
              <w:t>.1-</w:t>
            </w:r>
            <w:r>
              <w:rPr>
                <w:rFonts w:hint="eastAsia" w:ascii="宋体" w:hAnsi="宋体" w:eastAsia="宋体" w:cs="宋体"/>
                <w:bCs/>
                <w:sz w:val="21"/>
                <w:szCs w:val="21"/>
                <w14:ligatures w14:val="none"/>
              </w:rPr>
              <w:t>4.0分</w:t>
            </w:r>
          </w:p>
        </w:tc>
      </w:tr>
      <w:tr w14:paraId="7846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exact"/>
          <w:jc w:val="center"/>
        </w:trPr>
        <w:tc>
          <w:tcPr>
            <w:tcW w:w="646" w:type="pct"/>
            <w:vMerge w:val="continue"/>
            <w:vAlign w:val="center"/>
          </w:tcPr>
          <w:p w14:paraId="6F98D435">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513" w:type="pct"/>
            <w:vMerge w:val="continue"/>
            <w:vAlign w:val="center"/>
          </w:tcPr>
          <w:p w14:paraId="5511EE30">
            <w:pPr>
              <w:spacing w:before="156" w:beforeLines="50" w:after="156" w:afterLines="50" w:line="240" w:lineRule="auto"/>
              <w:ind w:right="113"/>
              <w:jc w:val="both"/>
              <w:rPr>
                <w:rFonts w:hint="eastAsia" w:ascii="宋体" w:hAnsi="宋体" w:eastAsia="宋体" w:cs="Times New Roman"/>
                <w:sz w:val="21"/>
                <w:szCs w:val="21"/>
                <w14:ligatures w14:val="none"/>
              </w:rPr>
            </w:pPr>
          </w:p>
        </w:tc>
        <w:tc>
          <w:tcPr>
            <w:tcW w:w="526" w:type="pct"/>
            <w:vMerge w:val="continue"/>
            <w:vAlign w:val="center"/>
          </w:tcPr>
          <w:p w14:paraId="2BEB87DF">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800" w:type="pct"/>
            <w:vMerge w:val="continue"/>
            <w:vAlign w:val="center"/>
          </w:tcPr>
          <w:p w14:paraId="05C84717">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412" w:type="pct"/>
            <w:vMerge w:val="continue"/>
            <w:vAlign w:val="center"/>
          </w:tcPr>
          <w:p w14:paraId="6F5BDEFF">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2103" w:type="pct"/>
            <w:vAlign w:val="center"/>
          </w:tcPr>
          <w:p w14:paraId="3286CBD5">
            <w:pPr>
              <w:spacing w:after="0" w:line="240" w:lineRule="auto"/>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管理体系一般、保证措施一般，得3分</w:t>
            </w:r>
          </w:p>
        </w:tc>
      </w:tr>
      <w:tr w14:paraId="33A3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exact"/>
          <w:jc w:val="center"/>
        </w:trPr>
        <w:tc>
          <w:tcPr>
            <w:tcW w:w="646" w:type="pct"/>
            <w:vMerge w:val="continue"/>
            <w:vAlign w:val="center"/>
          </w:tcPr>
          <w:p w14:paraId="41BBC781">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513" w:type="pct"/>
            <w:vMerge w:val="continue"/>
            <w:vAlign w:val="center"/>
          </w:tcPr>
          <w:p w14:paraId="5BE165EB">
            <w:pPr>
              <w:spacing w:before="156" w:beforeLines="50" w:after="156" w:afterLines="50" w:line="240" w:lineRule="auto"/>
              <w:ind w:right="113"/>
              <w:jc w:val="both"/>
              <w:rPr>
                <w:rFonts w:hint="eastAsia" w:ascii="宋体" w:hAnsi="宋体" w:eastAsia="宋体" w:cs="Times New Roman"/>
                <w:sz w:val="21"/>
                <w:szCs w:val="21"/>
                <w14:ligatures w14:val="none"/>
              </w:rPr>
            </w:pPr>
          </w:p>
        </w:tc>
        <w:tc>
          <w:tcPr>
            <w:tcW w:w="526" w:type="pct"/>
            <w:vMerge w:val="continue"/>
            <w:vAlign w:val="center"/>
          </w:tcPr>
          <w:p w14:paraId="710FE234">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800" w:type="pct"/>
            <w:vMerge w:val="restart"/>
            <w:vAlign w:val="center"/>
          </w:tcPr>
          <w:p w14:paraId="0965CC12">
            <w:pPr>
              <w:spacing w:before="156" w:beforeLines="50" w:after="156" w:afterLines="50" w:line="240" w:lineRule="auto"/>
              <w:ind w:right="113"/>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环境保护、文明施工保证体系及保证措施</w:t>
            </w:r>
          </w:p>
        </w:tc>
        <w:tc>
          <w:tcPr>
            <w:tcW w:w="412" w:type="pct"/>
            <w:vMerge w:val="restart"/>
            <w:vAlign w:val="center"/>
          </w:tcPr>
          <w:p w14:paraId="215286AA">
            <w:pPr>
              <w:spacing w:after="0" w:line="240" w:lineRule="auto"/>
              <w:jc w:val="center"/>
              <w:rPr>
                <w:rFonts w:ascii="宋体" w:hAnsi="宋体" w:eastAsia="宋体" w:cs="Times New Roman"/>
                <w:sz w:val="21"/>
                <w14:ligatures w14:val="none"/>
              </w:rPr>
            </w:pPr>
            <w:r>
              <w:rPr>
                <w:rFonts w:hint="eastAsia" w:ascii="宋体" w:hAnsi="宋体" w:eastAsia="宋体" w:cs="Times New Roman"/>
                <w:sz w:val="21"/>
                <w:szCs w:val="21"/>
                <w14:ligatures w14:val="none"/>
              </w:rPr>
              <w:t>5分</w:t>
            </w:r>
          </w:p>
        </w:tc>
        <w:tc>
          <w:tcPr>
            <w:tcW w:w="2103" w:type="pct"/>
            <w:vAlign w:val="center"/>
          </w:tcPr>
          <w:p w14:paraId="7604DD1B">
            <w:pPr>
              <w:spacing w:after="0" w:line="240" w:lineRule="auto"/>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管理体系完善、保证措施合理，得4.1</w:t>
            </w:r>
            <w:r>
              <w:rPr>
                <w:rFonts w:ascii="宋体" w:hAnsi="宋体" w:eastAsia="宋体" w:cs="宋体"/>
                <w:bCs/>
                <w:sz w:val="21"/>
                <w:szCs w:val="21"/>
                <w14:ligatures w14:val="none"/>
              </w:rPr>
              <w:t>-</w:t>
            </w:r>
            <w:r>
              <w:rPr>
                <w:rFonts w:hint="eastAsia" w:ascii="宋体" w:hAnsi="宋体" w:eastAsia="宋体" w:cs="宋体"/>
                <w:bCs/>
                <w:sz w:val="21"/>
                <w:szCs w:val="21"/>
                <w14:ligatures w14:val="none"/>
              </w:rPr>
              <w:t>5分</w:t>
            </w:r>
          </w:p>
        </w:tc>
      </w:tr>
      <w:tr w14:paraId="1816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exact"/>
          <w:jc w:val="center"/>
        </w:trPr>
        <w:tc>
          <w:tcPr>
            <w:tcW w:w="646" w:type="pct"/>
            <w:vMerge w:val="continue"/>
            <w:vAlign w:val="center"/>
          </w:tcPr>
          <w:p w14:paraId="18245254">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513" w:type="pct"/>
            <w:vMerge w:val="continue"/>
            <w:vAlign w:val="center"/>
          </w:tcPr>
          <w:p w14:paraId="447718B6">
            <w:pPr>
              <w:spacing w:before="156" w:beforeLines="50" w:after="156" w:afterLines="50" w:line="240" w:lineRule="auto"/>
              <w:ind w:right="113"/>
              <w:jc w:val="both"/>
              <w:rPr>
                <w:rFonts w:hint="eastAsia" w:ascii="宋体" w:hAnsi="宋体" w:eastAsia="宋体" w:cs="Times New Roman"/>
                <w:sz w:val="21"/>
                <w:szCs w:val="21"/>
                <w14:ligatures w14:val="none"/>
              </w:rPr>
            </w:pPr>
          </w:p>
        </w:tc>
        <w:tc>
          <w:tcPr>
            <w:tcW w:w="526" w:type="pct"/>
            <w:vMerge w:val="continue"/>
            <w:vAlign w:val="center"/>
          </w:tcPr>
          <w:p w14:paraId="27FBE0CD">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800" w:type="pct"/>
            <w:vMerge w:val="continue"/>
            <w:vAlign w:val="center"/>
          </w:tcPr>
          <w:p w14:paraId="04EBD46B">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412" w:type="pct"/>
            <w:vMerge w:val="continue"/>
            <w:vAlign w:val="center"/>
          </w:tcPr>
          <w:p w14:paraId="6640CC55">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2103" w:type="pct"/>
            <w:vAlign w:val="center"/>
          </w:tcPr>
          <w:p w14:paraId="5EEBD34F">
            <w:pPr>
              <w:spacing w:after="0" w:line="240" w:lineRule="auto"/>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管理体系较完善、保证措施较合理，得3</w:t>
            </w:r>
            <w:r>
              <w:rPr>
                <w:rFonts w:ascii="宋体" w:hAnsi="宋体" w:eastAsia="宋体" w:cs="宋体"/>
                <w:bCs/>
                <w:sz w:val="21"/>
                <w:szCs w:val="21"/>
                <w14:ligatures w14:val="none"/>
              </w:rPr>
              <w:t>.1-</w:t>
            </w:r>
            <w:r>
              <w:rPr>
                <w:rFonts w:hint="eastAsia" w:ascii="宋体" w:hAnsi="宋体" w:eastAsia="宋体" w:cs="宋体"/>
                <w:bCs/>
                <w:sz w:val="21"/>
                <w:szCs w:val="21"/>
                <w14:ligatures w14:val="none"/>
              </w:rPr>
              <w:t>4.0分</w:t>
            </w:r>
          </w:p>
        </w:tc>
      </w:tr>
      <w:tr w14:paraId="4EE3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exact"/>
          <w:jc w:val="center"/>
        </w:trPr>
        <w:tc>
          <w:tcPr>
            <w:tcW w:w="646" w:type="pct"/>
            <w:vMerge w:val="continue"/>
            <w:vAlign w:val="center"/>
          </w:tcPr>
          <w:p w14:paraId="30C3A5C8">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513" w:type="pct"/>
            <w:vMerge w:val="continue"/>
            <w:vAlign w:val="center"/>
          </w:tcPr>
          <w:p w14:paraId="5CBBC165">
            <w:pPr>
              <w:spacing w:before="156" w:beforeLines="50" w:after="156" w:afterLines="50" w:line="240" w:lineRule="auto"/>
              <w:ind w:right="113"/>
              <w:jc w:val="both"/>
              <w:rPr>
                <w:rFonts w:hint="eastAsia" w:ascii="宋体" w:hAnsi="宋体" w:eastAsia="宋体" w:cs="Times New Roman"/>
                <w:sz w:val="21"/>
                <w:szCs w:val="21"/>
                <w14:ligatures w14:val="none"/>
              </w:rPr>
            </w:pPr>
          </w:p>
        </w:tc>
        <w:tc>
          <w:tcPr>
            <w:tcW w:w="526" w:type="pct"/>
            <w:vMerge w:val="continue"/>
            <w:vAlign w:val="center"/>
          </w:tcPr>
          <w:p w14:paraId="29F7346E">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800" w:type="pct"/>
            <w:vMerge w:val="continue"/>
            <w:vAlign w:val="center"/>
          </w:tcPr>
          <w:p w14:paraId="0BA339A7">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412" w:type="pct"/>
            <w:vMerge w:val="continue"/>
            <w:vAlign w:val="center"/>
          </w:tcPr>
          <w:p w14:paraId="0FE77F68">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2103" w:type="pct"/>
            <w:vAlign w:val="center"/>
          </w:tcPr>
          <w:p w14:paraId="3F0F740D">
            <w:pPr>
              <w:spacing w:after="0" w:line="240" w:lineRule="auto"/>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管理体系一般、保证措施一般，得3分</w:t>
            </w:r>
          </w:p>
        </w:tc>
      </w:tr>
      <w:tr w14:paraId="20C4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646" w:type="pct"/>
            <w:vMerge w:val="restart"/>
            <w:vAlign w:val="center"/>
          </w:tcPr>
          <w:p w14:paraId="17B64B53">
            <w:pPr>
              <w:spacing w:before="156" w:beforeLines="50" w:after="156" w:afterLines="50" w:line="240" w:lineRule="auto"/>
              <w:ind w:right="113"/>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2.2.4(2)</w:t>
            </w:r>
          </w:p>
        </w:tc>
        <w:tc>
          <w:tcPr>
            <w:tcW w:w="513" w:type="pct"/>
            <w:vMerge w:val="restart"/>
            <w:vAlign w:val="center"/>
          </w:tcPr>
          <w:p w14:paraId="47747DFA">
            <w:pPr>
              <w:spacing w:before="156" w:beforeLines="50" w:after="156" w:afterLines="5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主要人员</w:t>
            </w:r>
          </w:p>
        </w:tc>
        <w:tc>
          <w:tcPr>
            <w:tcW w:w="526" w:type="pct"/>
            <w:vMerge w:val="restart"/>
            <w:vAlign w:val="center"/>
          </w:tcPr>
          <w:p w14:paraId="5B11BCF4">
            <w:pPr>
              <w:spacing w:before="156" w:beforeLines="50" w:after="156" w:afterLines="50" w:line="240" w:lineRule="auto"/>
              <w:ind w:right="113"/>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10分</w:t>
            </w:r>
          </w:p>
        </w:tc>
        <w:tc>
          <w:tcPr>
            <w:tcW w:w="800" w:type="pct"/>
            <w:vMerge w:val="restart"/>
            <w:vAlign w:val="center"/>
          </w:tcPr>
          <w:p w14:paraId="528AD460">
            <w:pPr>
              <w:spacing w:before="156" w:beforeLines="50" w:after="156" w:afterLines="50" w:line="240" w:lineRule="auto"/>
              <w:ind w:right="62"/>
              <w:jc w:val="center"/>
              <w:rPr>
                <w:rFonts w:ascii="宋体" w:hAnsi="宋体" w:eastAsia="宋体" w:cs="Times New Roman"/>
                <w:sz w:val="21"/>
                <w:szCs w:val="21"/>
                <w14:ligatures w14:val="none"/>
              </w:rPr>
            </w:pPr>
            <w:r>
              <w:rPr>
                <w:rFonts w:hint="eastAsia" w:ascii="宋体" w:hAnsi="宋体" w:eastAsia="宋体" w:cs="Times New Roman"/>
                <w:sz w:val="21"/>
                <w:szCs w:val="21"/>
                <w14:ligatures w14:val="none"/>
              </w:rPr>
              <w:t>项目负责人</w:t>
            </w:r>
          </w:p>
          <w:p w14:paraId="33024AC1">
            <w:pPr>
              <w:spacing w:before="156" w:beforeLines="50" w:after="156" w:afterLines="50" w:line="240" w:lineRule="auto"/>
              <w:ind w:right="62"/>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业绩</w:t>
            </w:r>
          </w:p>
        </w:tc>
        <w:tc>
          <w:tcPr>
            <w:tcW w:w="2515" w:type="pct"/>
            <w:gridSpan w:val="2"/>
            <w:vAlign w:val="center"/>
          </w:tcPr>
          <w:p w14:paraId="79FAACD2">
            <w:pPr>
              <w:spacing w:before="156" w:beforeLines="50" w:after="156" w:afterLines="50" w:line="240" w:lineRule="auto"/>
              <w:ind w:right="113"/>
              <w:rPr>
                <w:rFonts w:hint="eastAsia" w:ascii="宋体" w:hAnsi="宋体" w:eastAsia="宋体" w:cs="Times New Roman"/>
                <w:spacing w:val="12"/>
                <w:sz w:val="21"/>
                <w:szCs w:val="21"/>
                <w14:ligatures w14:val="none"/>
              </w:rPr>
            </w:pPr>
            <w:r>
              <w:rPr>
                <w:rFonts w:hint="eastAsia" w:ascii="宋体" w:hAnsi="宋体" w:eastAsia="宋体" w:cs="Times New Roman"/>
                <w:sz w:val="21"/>
                <w:szCs w:val="21"/>
                <w14:ligatures w14:val="none"/>
              </w:rPr>
              <w:t>满足资格审查要求得6分</w:t>
            </w:r>
            <w:r>
              <w:rPr>
                <w:rFonts w:hint="eastAsia" w:ascii="宋体" w:hAnsi="宋体" w:eastAsia="宋体" w:cs="Times New Roman"/>
                <w:spacing w:val="12"/>
                <w:sz w:val="21"/>
                <w:szCs w:val="21"/>
                <w14:ligatures w14:val="none"/>
              </w:rPr>
              <w:t>。</w:t>
            </w:r>
          </w:p>
        </w:tc>
      </w:tr>
      <w:tr w14:paraId="0325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 w:hRule="atLeast"/>
          <w:jc w:val="center"/>
        </w:trPr>
        <w:tc>
          <w:tcPr>
            <w:tcW w:w="646" w:type="pct"/>
            <w:vMerge w:val="continue"/>
            <w:vAlign w:val="center"/>
          </w:tcPr>
          <w:p w14:paraId="3C8E726C">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513" w:type="pct"/>
            <w:vMerge w:val="continue"/>
            <w:vAlign w:val="center"/>
          </w:tcPr>
          <w:p w14:paraId="3FC8606B">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526" w:type="pct"/>
            <w:vMerge w:val="continue"/>
            <w:vAlign w:val="center"/>
          </w:tcPr>
          <w:p w14:paraId="0527B1C8">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800" w:type="pct"/>
            <w:vMerge w:val="continue"/>
            <w:vAlign w:val="center"/>
          </w:tcPr>
          <w:p w14:paraId="5EDBEF04">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2515" w:type="pct"/>
            <w:gridSpan w:val="2"/>
            <w:vAlign w:val="center"/>
          </w:tcPr>
          <w:p w14:paraId="366D507C">
            <w:pPr>
              <w:spacing w:after="0" w:line="320" w:lineRule="exact"/>
              <w:rPr>
                <w:rFonts w:hint="eastAsia" w:ascii="宋体" w:hAnsi="宋体" w:eastAsia="宋体" w:cs="宋体"/>
                <w:sz w:val="21"/>
                <w:szCs w:val="21"/>
                <w14:ligatures w14:val="none"/>
              </w:rPr>
            </w:pPr>
            <w:r>
              <w:rPr>
                <w:rFonts w:hint="eastAsia" w:ascii="宋体" w:hAnsi="宋体" w:eastAsia="宋体" w:cs="宋体"/>
                <w:sz w:val="21"/>
                <w:szCs w:val="21"/>
                <w14:ligatures w14:val="none"/>
              </w:rPr>
              <w:t>近3年内（2023年4月1日至今，以合同签订时间为准）每增加1项双向4车道高速公路日常养护业绩（合同期不少于12个月，养护里程不低于50公里，日常养护项目必须包含路基、路面、桥涵及沿线设施工作内容）加1分；</w:t>
            </w:r>
          </w:p>
          <w:p w14:paraId="1AB56B55">
            <w:pPr>
              <w:spacing w:after="0" w:line="320" w:lineRule="exact"/>
              <w:rPr>
                <w:rFonts w:hint="eastAsia" w:ascii="宋体" w:hAnsi="宋体" w:eastAsia="宋体" w:cs="宋体"/>
                <w:sz w:val="21"/>
                <w:szCs w:val="21"/>
                <w14:ligatures w14:val="none"/>
              </w:rPr>
            </w:pPr>
            <w:r>
              <w:rPr>
                <w:rFonts w:hint="eastAsia" w:ascii="宋体" w:hAnsi="宋体" w:eastAsia="宋体" w:cs="宋体"/>
                <w:sz w:val="21"/>
                <w:szCs w:val="21"/>
                <w14:ligatures w14:val="none"/>
              </w:rPr>
              <w:t>近3年内（2023年4月1日至今，以合同签订时间为准）每增加1项双向6车道高速公路日常养护业绩（合同期不少于12个月，养护里程不低于50公里，日常养护项目必须包含路基、路面、桥涵及沿线设施工作内容）加2分；</w:t>
            </w:r>
          </w:p>
          <w:p w14:paraId="3CE35DE4">
            <w:pPr>
              <w:spacing w:after="0" w:line="320" w:lineRule="exact"/>
              <w:rPr>
                <w:rFonts w:hint="eastAsia" w:ascii="宋体" w:hAnsi="宋体" w:eastAsia="宋体" w:cs="宋体"/>
                <w:sz w:val="21"/>
                <w:szCs w:val="21"/>
                <w14:ligatures w14:val="none"/>
              </w:rPr>
            </w:pPr>
            <w:r>
              <w:rPr>
                <w:rFonts w:hint="eastAsia" w:ascii="宋体" w:hAnsi="宋体" w:eastAsia="宋体" w:cs="宋体"/>
                <w:sz w:val="21"/>
                <w:szCs w:val="21"/>
                <w14:ligatures w14:val="none"/>
              </w:rPr>
              <w:t>近3年内（2023年4月1日至今，以合同签订时间为准）每增加1项双向8车道高速公路日常养护业绩（合同期不少于12个月，养护里程不低于50公里，日常养护项目必须包含路基、路面、桥涵及沿线设施工作内容）加4分；</w:t>
            </w:r>
          </w:p>
          <w:p w14:paraId="7995CEA3">
            <w:pPr>
              <w:spacing w:after="0" w:line="320" w:lineRule="exact"/>
              <w:rPr>
                <w:rFonts w:hint="eastAsia" w:ascii="宋体" w:hAnsi="宋体" w:eastAsia="宋体" w:cs="Times New Roman"/>
                <w:sz w:val="21"/>
                <w:szCs w:val="21"/>
                <w14:ligatures w14:val="none"/>
              </w:rPr>
            </w:pPr>
            <w:r>
              <w:rPr>
                <w:rFonts w:hint="eastAsia" w:ascii="宋体" w:hAnsi="宋体" w:eastAsia="宋体" w:cs="宋体"/>
                <w:sz w:val="21"/>
                <w:szCs w:val="21"/>
                <w14:ligatures w14:val="none"/>
              </w:rPr>
              <w:t>本项最多加4分。</w:t>
            </w:r>
          </w:p>
        </w:tc>
      </w:tr>
      <w:tr w14:paraId="1B90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5" w:hRule="atLeast"/>
          <w:jc w:val="center"/>
        </w:trPr>
        <w:tc>
          <w:tcPr>
            <w:tcW w:w="646" w:type="pct"/>
            <w:vAlign w:val="center"/>
          </w:tcPr>
          <w:p w14:paraId="4872A7CA">
            <w:pPr>
              <w:spacing w:before="156" w:beforeLines="50" w:after="156" w:afterLines="50" w:line="240" w:lineRule="auto"/>
              <w:ind w:right="113"/>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2.2.4(3)</w:t>
            </w:r>
          </w:p>
        </w:tc>
        <w:tc>
          <w:tcPr>
            <w:tcW w:w="513" w:type="pct"/>
            <w:vAlign w:val="center"/>
          </w:tcPr>
          <w:p w14:paraId="719BCA72">
            <w:pPr>
              <w:spacing w:before="156" w:beforeLines="50" w:after="156" w:afterLines="50" w:line="240" w:lineRule="auto"/>
              <w:ind w:right="113"/>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评标价</w:t>
            </w:r>
          </w:p>
        </w:tc>
        <w:tc>
          <w:tcPr>
            <w:tcW w:w="526" w:type="pct"/>
            <w:vAlign w:val="center"/>
          </w:tcPr>
          <w:p w14:paraId="00B27500">
            <w:pPr>
              <w:spacing w:after="0" w:line="260" w:lineRule="exact"/>
              <w:ind w:left="113" w:right="113"/>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50分</w:t>
            </w:r>
          </w:p>
        </w:tc>
        <w:tc>
          <w:tcPr>
            <w:tcW w:w="3315" w:type="pct"/>
            <w:gridSpan w:val="3"/>
            <w:vAlign w:val="center"/>
          </w:tcPr>
          <w:p w14:paraId="593F1E98">
            <w:pPr>
              <w:spacing w:after="0" w:line="260" w:lineRule="exact"/>
              <w:ind w:left="113" w:right="113" w:firstLine="210" w:firstLineChars="1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评标价得分计算公式示例：</w:t>
            </w:r>
          </w:p>
          <w:p w14:paraId="6585A3C1">
            <w:pPr>
              <w:spacing w:after="0" w:line="260" w:lineRule="exact"/>
              <w:ind w:left="113" w:right="113" w:firstLine="210" w:firstLineChars="1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(1)如果投标人的评标价＞评标基准价，则评标价得分=30-偏差率×100×</w:t>
            </w:r>
            <w:r>
              <w:rPr>
                <w:rFonts w:hint="eastAsia" w:ascii="宋体" w:hAnsi="宋体" w:eastAsia="宋体" w:cs="Times New Roman"/>
                <w:i/>
                <w:sz w:val="21"/>
                <w:szCs w:val="21"/>
                <w14:ligatures w14:val="none"/>
              </w:rPr>
              <w:t>E</w:t>
            </w:r>
            <w:r>
              <w:rPr>
                <w:rFonts w:hint="eastAsia" w:ascii="宋体" w:hAnsi="宋体" w:eastAsia="宋体" w:cs="Times New Roman"/>
                <w:sz w:val="21"/>
                <w:szCs w:val="21"/>
                <w:vertAlign w:val="subscript"/>
                <w14:ligatures w14:val="none"/>
              </w:rPr>
              <w:t>1</w:t>
            </w:r>
            <w:r>
              <w:rPr>
                <w:rFonts w:hint="eastAsia" w:ascii="宋体" w:hAnsi="宋体" w:eastAsia="宋体" w:cs="Times New Roman"/>
                <w:sz w:val="21"/>
                <w:szCs w:val="21"/>
                <w14:ligatures w14:val="none"/>
              </w:rPr>
              <w:t>；</w:t>
            </w:r>
          </w:p>
          <w:p w14:paraId="52E8160D">
            <w:pPr>
              <w:spacing w:after="0" w:line="260" w:lineRule="exact"/>
              <w:ind w:left="113" w:right="113" w:firstLine="210" w:firstLineChars="1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(2)如果投标人的评标价≤评标基准价，则评标价得分=30+偏差率×100×</w:t>
            </w:r>
            <w:r>
              <w:rPr>
                <w:rFonts w:hint="eastAsia" w:ascii="宋体" w:hAnsi="宋体" w:eastAsia="宋体" w:cs="Times New Roman"/>
                <w:i/>
                <w:sz w:val="21"/>
                <w:szCs w:val="21"/>
                <w14:ligatures w14:val="none"/>
              </w:rPr>
              <w:t>E</w:t>
            </w:r>
            <w:r>
              <w:rPr>
                <w:rFonts w:hint="eastAsia" w:ascii="宋体" w:hAnsi="宋体" w:eastAsia="宋体" w:cs="Times New Roman"/>
                <w:sz w:val="21"/>
                <w:szCs w:val="21"/>
                <w:vertAlign w:val="subscript"/>
                <w14:ligatures w14:val="none"/>
              </w:rPr>
              <w:t>2</w:t>
            </w:r>
            <w:r>
              <w:rPr>
                <w:rFonts w:hint="eastAsia" w:ascii="宋体" w:hAnsi="宋体" w:eastAsia="宋体" w:cs="Times New Roman"/>
                <w:sz w:val="21"/>
                <w:szCs w:val="21"/>
                <w14:ligatures w14:val="none"/>
              </w:rPr>
              <w:t>；</w:t>
            </w:r>
          </w:p>
          <w:p w14:paraId="2CA2E2FD">
            <w:pPr>
              <w:spacing w:after="0" w:line="260" w:lineRule="exact"/>
              <w:ind w:left="113" w:right="113"/>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其中： </w:t>
            </w:r>
          </w:p>
          <w:p w14:paraId="7FEADDD2">
            <w:pPr>
              <w:spacing w:after="0" w:line="260" w:lineRule="exact"/>
              <w:ind w:left="113" w:right="113"/>
              <w:jc w:val="both"/>
              <w:rPr>
                <w:rFonts w:hint="eastAsia" w:ascii="宋体" w:hAnsi="宋体" w:eastAsia="宋体" w:cs="Times New Roman"/>
                <w:sz w:val="21"/>
                <w:szCs w:val="21"/>
                <w14:ligatures w14:val="none"/>
              </w:rPr>
            </w:pPr>
            <w:r>
              <w:rPr>
                <w:rFonts w:hint="eastAsia" w:ascii="宋体" w:hAnsi="宋体" w:eastAsia="宋体" w:cs="Times New Roman"/>
                <w:i/>
                <w:sz w:val="21"/>
                <w:szCs w:val="21"/>
                <w14:ligatures w14:val="none"/>
              </w:rPr>
              <w:t>E</w:t>
            </w:r>
            <w:r>
              <w:rPr>
                <w:rFonts w:hint="eastAsia" w:ascii="宋体" w:hAnsi="宋体" w:eastAsia="宋体" w:cs="Times New Roman"/>
                <w:sz w:val="21"/>
                <w:szCs w:val="21"/>
                <w:vertAlign w:val="subscript"/>
                <w14:ligatures w14:val="none"/>
              </w:rPr>
              <w:t>1</w:t>
            </w:r>
            <w:r>
              <w:rPr>
                <w:rFonts w:hint="eastAsia" w:ascii="宋体" w:hAnsi="宋体" w:eastAsia="宋体" w:cs="Times New Roman"/>
                <w:sz w:val="21"/>
                <w:szCs w:val="21"/>
                <w14:ligatures w14:val="none"/>
              </w:rPr>
              <w:t>是评标价每高于评标基准价一个百分点的扣分值，</w:t>
            </w:r>
            <w:r>
              <w:rPr>
                <w:rFonts w:hint="eastAsia" w:ascii="宋体" w:hAnsi="宋体" w:eastAsia="宋体" w:cs="Times New Roman"/>
                <w:i/>
                <w:sz w:val="21"/>
                <w:szCs w:val="21"/>
                <w14:ligatures w14:val="none"/>
              </w:rPr>
              <w:t>E</w:t>
            </w:r>
            <w:r>
              <w:rPr>
                <w:rFonts w:hint="eastAsia" w:ascii="宋体" w:hAnsi="宋体" w:eastAsia="宋体" w:cs="Times New Roman"/>
                <w:sz w:val="21"/>
                <w:szCs w:val="21"/>
                <w:vertAlign w:val="subscript"/>
                <w14:ligatures w14:val="none"/>
              </w:rPr>
              <w:t>1</w:t>
            </w:r>
            <w:r>
              <w:rPr>
                <w:rFonts w:hint="eastAsia" w:ascii="宋体" w:hAnsi="宋体" w:eastAsia="宋体" w:cs="Times New Roman"/>
                <w:sz w:val="21"/>
                <w:szCs w:val="21"/>
                <w14:ligatures w14:val="none"/>
              </w:rPr>
              <w:t>=0.2；</w:t>
            </w:r>
          </w:p>
          <w:p w14:paraId="704CC04A">
            <w:pPr>
              <w:spacing w:after="0" w:line="260" w:lineRule="exact"/>
              <w:ind w:left="113" w:right="113"/>
              <w:jc w:val="both"/>
              <w:rPr>
                <w:rFonts w:ascii="宋体" w:hAnsi="宋体" w:eastAsia="宋体" w:cs="Times New Roman"/>
                <w:sz w:val="21"/>
                <w:szCs w:val="21"/>
                <w14:ligatures w14:val="none"/>
              </w:rPr>
            </w:pPr>
            <w:r>
              <w:rPr>
                <w:rFonts w:hint="eastAsia" w:ascii="宋体" w:hAnsi="宋体" w:eastAsia="宋体" w:cs="Times New Roman"/>
                <w:i/>
                <w:sz w:val="21"/>
                <w:szCs w:val="21"/>
                <w14:ligatures w14:val="none"/>
              </w:rPr>
              <w:t>E</w:t>
            </w:r>
            <w:r>
              <w:rPr>
                <w:rFonts w:hint="eastAsia" w:ascii="宋体" w:hAnsi="宋体" w:eastAsia="宋体" w:cs="Times New Roman"/>
                <w:sz w:val="21"/>
                <w:szCs w:val="21"/>
                <w:vertAlign w:val="subscript"/>
                <w14:ligatures w14:val="none"/>
              </w:rPr>
              <w:t>2</w:t>
            </w:r>
            <w:r>
              <w:rPr>
                <w:rFonts w:hint="eastAsia" w:ascii="宋体" w:hAnsi="宋体" w:eastAsia="宋体" w:cs="Times New Roman"/>
                <w:sz w:val="21"/>
                <w:szCs w:val="21"/>
                <w14:ligatures w14:val="none"/>
              </w:rPr>
              <w:t>是评标价每低于评标基准价一个百分点的扣分值，</w:t>
            </w:r>
            <w:r>
              <w:rPr>
                <w:rFonts w:hint="eastAsia" w:ascii="宋体" w:hAnsi="宋体" w:eastAsia="宋体" w:cs="Times New Roman"/>
                <w:i/>
                <w:sz w:val="21"/>
                <w:szCs w:val="21"/>
                <w14:ligatures w14:val="none"/>
              </w:rPr>
              <w:t>E</w:t>
            </w:r>
            <w:r>
              <w:rPr>
                <w:rFonts w:hint="eastAsia" w:ascii="宋体" w:hAnsi="宋体" w:eastAsia="宋体" w:cs="Times New Roman"/>
                <w:sz w:val="21"/>
                <w:szCs w:val="21"/>
                <w:vertAlign w:val="subscript"/>
                <w14:ligatures w14:val="none"/>
              </w:rPr>
              <w:t>2</w:t>
            </w:r>
            <w:r>
              <w:rPr>
                <w:rFonts w:hint="eastAsia" w:ascii="宋体" w:hAnsi="宋体" w:eastAsia="宋体" w:cs="Times New Roman"/>
                <w:sz w:val="21"/>
                <w:szCs w:val="21"/>
                <w14:ligatures w14:val="none"/>
              </w:rPr>
              <w:t>=0.1。</w:t>
            </w:r>
          </w:p>
          <w:p w14:paraId="4B79D297">
            <w:pPr>
              <w:spacing w:after="0" w:line="260" w:lineRule="exact"/>
              <w:ind w:left="113" w:right="113"/>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评标价得分保留两位小数，小数点后第三位四舍五入。</w:t>
            </w:r>
          </w:p>
        </w:tc>
      </w:tr>
      <w:tr w14:paraId="18B6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 w:hRule="atLeast"/>
          <w:jc w:val="center"/>
        </w:trPr>
        <w:tc>
          <w:tcPr>
            <w:tcW w:w="646" w:type="pct"/>
            <w:vMerge w:val="restart"/>
            <w:vAlign w:val="center"/>
          </w:tcPr>
          <w:p w14:paraId="1B35B995">
            <w:pPr>
              <w:spacing w:before="156" w:beforeLines="50" w:after="156" w:afterLines="50" w:line="240" w:lineRule="auto"/>
              <w:ind w:right="113"/>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2.2.4(4)</w:t>
            </w:r>
          </w:p>
        </w:tc>
        <w:tc>
          <w:tcPr>
            <w:tcW w:w="513" w:type="pct"/>
            <w:vMerge w:val="restart"/>
            <w:vAlign w:val="center"/>
          </w:tcPr>
          <w:p w14:paraId="771D3CC0">
            <w:pPr>
              <w:spacing w:before="156" w:beforeLines="50" w:after="156" w:afterLines="50" w:line="240" w:lineRule="auto"/>
              <w:ind w:right="57"/>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其他因素</w:t>
            </w:r>
          </w:p>
        </w:tc>
        <w:tc>
          <w:tcPr>
            <w:tcW w:w="526" w:type="pct"/>
            <w:vMerge w:val="restart"/>
            <w:vAlign w:val="center"/>
          </w:tcPr>
          <w:p w14:paraId="37B097B9">
            <w:pPr>
              <w:spacing w:after="0" w:line="260" w:lineRule="exact"/>
              <w:ind w:left="113" w:right="113"/>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10分</w:t>
            </w:r>
          </w:p>
        </w:tc>
        <w:tc>
          <w:tcPr>
            <w:tcW w:w="800" w:type="pct"/>
            <w:vMerge w:val="restart"/>
            <w:vAlign w:val="center"/>
          </w:tcPr>
          <w:p w14:paraId="0CB9655C">
            <w:pPr>
              <w:spacing w:before="156" w:beforeLines="50" w:after="156" w:afterLines="50" w:line="240" w:lineRule="auto"/>
              <w:ind w:right="113"/>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企业业绩</w:t>
            </w:r>
          </w:p>
        </w:tc>
        <w:tc>
          <w:tcPr>
            <w:tcW w:w="2515" w:type="pct"/>
            <w:gridSpan w:val="2"/>
            <w:vAlign w:val="center"/>
          </w:tcPr>
          <w:p w14:paraId="3F722309">
            <w:pPr>
              <w:spacing w:before="156" w:beforeLines="50" w:after="156" w:afterLines="50" w:line="240" w:lineRule="auto"/>
              <w:ind w:right="113"/>
              <w:rPr>
                <w:rFonts w:hint="eastAsia" w:ascii="宋体" w:hAnsi="宋体" w:eastAsia="宋体" w:cs="Times New Roman"/>
                <w:spacing w:val="12"/>
                <w:sz w:val="21"/>
                <w:szCs w:val="21"/>
                <w14:ligatures w14:val="none"/>
              </w:rPr>
            </w:pPr>
            <w:r>
              <w:rPr>
                <w:rFonts w:hint="eastAsia" w:ascii="宋体" w:hAnsi="宋体" w:eastAsia="宋体" w:cs="Times New Roman"/>
                <w:sz w:val="21"/>
                <w:szCs w:val="21"/>
                <w14:ligatures w14:val="none"/>
              </w:rPr>
              <w:t>满足资格审查要求得6分</w:t>
            </w:r>
            <w:r>
              <w:rPr>
                <w:rFonts w:hint="eastAsia" w:ascii="宋体" w:hAnsi="宋体" w:eastAsia="宋体" w:cs="Times New Roman"/>
                <w:spacing w:val="12"/>
                <w:sz w:val="21"/>
                <w:szCs w:val="21"/>
                <w14:ligatures w14:val="none"/>
              </w:rPr>
              <w:t>。</w:t>
            </w:r>
          </w:p>
        </w:tc>
      </w:tr>
      <w:tr w14:paraId="3A84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 w:hRule="atLeast"/>
          <w:jc w:val="center"/>
        </w:trPr>
        <w:tc>
          <w:tcPr>
            <w:tcW w:w="646" w:type="pct"/>
            <w:vMerge w:val="continue"/>
            <w:vAlign w:val="center"/>
          </w:tcPr>
          <w:p w14:paraId="39156A50">
            <w:pPr>
              <w:spacing w:before="156" w:beforeLines="50" w:after="156" w:afterLines="50" w:line="240" w:lineRule="auto"/>
              <w:ind w:right="113"/>
              <w:jc w:val="center"/>
              <w:rPr>
                <w:rFonts w:hint="eastAsia" w:ascii="宋体" w:hAnsi="宋体" w:eastAsia="宋体" w:cs="Times New Roman"/>
                <w:sz w:val="21"/>
                <w:szCs w:val="21"/>
                <w14:ligatures w14:val="none"/>
              </w:rPr>
            </w:pPr>
          </w:p>
        </w:tc>
        <w:tc>
          <w:tcPr>
            <w:tcW w:w="513" w:type="pct"/>
            <w:vMerge w:val="continue"/>
            <w:vAlign w:val="center"/>
          </w:tcPr>
          <w:p w14:paraId="059C63B2">
            <w:pPr>
              <w:spacing w:before="156" w:beforeLines="50" w:after="156" w:afterLines="50" w:line="240" w:lineRule="auto"/>
              <w:ind w:right="113"/>
              <w:jc w:val="both"/>
              <w:rPr>
                <w:rFonts w:hint="eastAsia" w:ascii="宋体" w:hAnsi="宋体" w:eastAsia="宋体" w:cs="Times New Roman"/>
                <w:sz w:val="21"/>
                <w:szCs w:val="21"/>
                <w14:ligatures w14:val="none"/>
              </w:rPr>
            </w:pPr>
          </w:p>
        </w:tc>
        <w:tc>
          <w:tcPr>
            <w:tcW w:w="526" w:type="pct"/>
            <w:vMerge w:val="continue"/>
            <w:vAlign w:val="center"/>
          </w:tcPr>
          <w:p w14:paraId="5BA954F7">
            <w:pPr>
              <w:spacing w:after="0" w:line="260" w:lineRule="exact"/>
              <w:ind w:left="113" w:right="113"/>
              <w:jc w:val="both"/>
              <w:rPr>
                <w:rFonts w:hint="eastAsia" w:ascii="宋体" w:hAnsi="宋体" w:eastAsia="宋体" w:cs="Times New Roman"/>
                <w:sz w:val="21"/>
                <w:szCs w:val="21"/>
                <w14:ligatures w14:val="none"/>
              </w:rPr>
            </w:pPr>
          </w:p>
        </w:tc>
        <w:tc>
          <w:tcPr>
            <w:tcW w:w="800" w:type="pct"/>
            <w:vMerge w:val="continue"/>
            <w:vAlign w:val="center"/>
          </w:tcPr>
          <w:p w14:paraId="0A2D7581">
            <w:pPr>
              <w:spacing w:before="156" w:beforeLines="50" w:after="156" w:afterLines="50" w:line="240" w:lineRule="auto"/>
              <w:ind w:left="113" w:right="113"/>
              <w:jc w:val="both"/>
              <w:rPr>
                <w:rFonts w:hint="eastAsia" w:ascii="宋体" w:hAnsi="宋体" w:eastAsia="宋体" w:cs="Times New Roman"/>
                <w:sz w:val="21"/>
                <w:szCs w:val="21"/>
                <w14:ligatures w14:val="none"/>
              </w:rPr>
            </w:pPr>
          </w:p>
        </w:tc>
        <w:tc>
          <w:tcPr>
            <w:tcW w:w="2515" w:type="pct"/>
            <w:gridSpan w:val="2"/>
            <w:vAlign w:val="center"/>
          </w:tcPr>
          <w:p w14:paraId="0D018D50">
            <w:pPr>
              <w:spacing w:before="156" w:beforeLines="50" w:after="156" w:afterLines="50" w:line="240" w:lineRule="auto"/>
              <w:ind w:right="113"/>
              <w:rPr>
                <w:rFonts w:hint="eastAsia" w:ascii="宋体" w:hAnsi="宋体" w:eastAsia="宋体" w:cs="宋体"/>
                <w:sz w:val="21"/>
                <w:szCs w:val="21"/>
                <w14:ligatures w14:val="none"/>
              </w:rPr>
            </w:pPr>
            <w:r>
              <w:rPr>
                <w:rFonts w:hint="eastAsia" w:ascii="宋体" w:hAnsi="宋体" w:eastAsia="宋体" w:cs="宋体"/>
                <w:sz w:val="21"/>
                <w:szCs w:val="21"/>
                <w14:ligatures w14:val="none"/>
              </w:rPr>
              <w:t>近3年内（2023年4月1日至今，以合同签订时间为准）每增加1项双向4车道高速公路日常养护业绩（合同期不少于12个月，养护里程不低于50公里，日常养护项目必须包含路基、路面、桥涵及沿线设施工作内容）加1分；</w:t>
            </w:r>
          </w:p>
          <w:p w14:paraId="0F96F96D">
            <w:pPr>
              <w:spacing w:before="156" w:beforeLines="50" w:after="156" w:afterLines="50" w:line="240" w:lineRule="auto"/>
              <w:ind w:right="113"/>
              <w:rPr>
                <w:rFonts w:hint="eastAsia" w:ascii="宋体" w:hAnsi="宋体" w:eastAsia="宋体" w:cs="宋体"/>
                <w:sz w:val="21"/>
                <w:szCs w:val="21"/>
                <w14:ligatures w14:val="none"/>
              </w:rPr>
            </w:pPr>
            <w:r>
              <w:rPr>
                <w:rFonts w:hint="eastAsia" w:ascii="宋体" w:hAnsi="宋体" w:eastAsia="宋体" w:cs="宋体"/>
                <w:sz w:val="21"/>
                <w:szCs w:val="21"/>
                <w14:ligatures w14:val="none"/>
              </w:rPr>
              <w:t>近3年内（2023年4月1日至今，以合同签订时间为准）每增加1项双向6车道高速公路日常养护业绩（合同期不少于12个月，养护里程不低于50公里，日常养护项目必须包含路基、路面、桥涵及沿线设施工作内容）加2分；</w:t>
            </w:r>
          </w:p>
          <w:p w14:paraId="2DEB8964">
            <w:pPr>
              <w:spacing w:before="156" w:beforeLines="50" w:after="156" w:afterLines="50" w:line="240" w:lineRule="auto"/>
              <w:ind w:right="113"/>
              <w:rPr>
                <w:rFonts w:hint="eastAsia" w:ascii="宋体" w:hAnsi="宋体" w:eastAsia="宋体" w:cs="宋体"/>
                <w:sz w:val="21"/>
                <w:szCs w:val="21"/>
                <w14:ligatures w14:val="none"/>
              </w:rPr>
            </w:pPr>
            <w:r>
              <w:rPr>
                <w:rFonts w:hint="eastAsia" w:ascii="宋体" w:hAnsi="宋体" w:eastAsia="宋体" w:cs="宋体"/>
                <w:sz w:val="21"/>
                <w:szCs w:val="21"/>
                <w14:ligatures w14:val="none"/>
              </w:rPr>
              <w:t>近3年内（2023年4月1日至今，以合同签订时间为准）每增加1项双向8车道高速公路日常养护业绩（合同期不少于12个月，养护里程不低于50公里，日常养护项目必须包含路基、路面、桥涵及沿线设施工作内容）加4分；</w:t>
            </w:r>
          </w:p>
          <w:p w14:paraId="40027D0C">
            <w:pPr>
              <w:spacing w:before="156" w:beforeLines="50" w:after="156" w:afterLines="50" w:line="240" w:lineRule="auto"/>
              <w:ind w:right="113"/>
              <w:rPr>
                <w:rFonts w:hint="eastAsia" w:ascii="宋体" w:hAnsi="宋体" w:eastAsia="宋体" w:cs="Times New Roman"/>
                <w:sz w:val="21"/>
                <w:szCs w:val="21"/>
                <w14:ligatures w14:val="none"/>
              </w:rPr>
            </w:pPr>
            <w:r>
              <w:rPr>
                <w:rFonts w:hint="eastAsia" w:ascii="宋体" w:hAnsi="宋体" w:eastAsia="宋体" w:cs="宋体"/>
                <w:sz w:val="21"/>
                <w:szCs w:val="21"/>
                <w14:ligatures w14:val="none"/>
              </w:rPr>
              <w:t>本项最多加4分。</w:t>
            </w:r>
          </w:p>
        </w:tc>
      </w:tr>
      <w:tr w14:paraId="5A0E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5000" w:type="pct"/>
            <w:gridSpan w:val="6"/>
            <w:vAlign w:val="center"/>
          </w:tcPr>
          <w:p w14:paraId="75F1D896">
            <w:pPr>
              <w:spacing w:before="156" w:beforeLines="50" w:after="156" w:afterLines="50" w:line="240" w:lineRule="auto"/>
              <w:ind w:right="113"/>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需要补充的其他内容：无</w:t>
            </w:r>
          </w:p>
        </w:tc>
      </w:tr>
    </w:tbl>
    <w:p w14:paraId="0931179F">
      <w:pPr>
        <w:spacing w:after="0" w:line="240" w:lineRule="auto"/>
        <w:jc w:val="both"/>
        <w:rPr>
          <w:rFonts w:hint="eastAsia" w:ascii="宋体" w:hAnsi="宋体" w:eastAsia="宋体" w:cs="Times New Roman"/>
          <w:sz w:val="21"/>
          <w14:ligatures w14:val="none"/>
        </w:rPr>
      </w:pPr>
      <w:r>
        <w:rPr>
          <w:rFonts w:hint="eastAsia" w:ascii="宋体" w:hAnsi="宋体" w:eastAsia="宋体" w:cs="Times New Roman"/>
          <w:sz w:val="21"/>
          <w14:ligatures w14:val="none"/>
        </w:rPr>
        <w:t>注：1、各评分因素得分应以评标委员会各成员的打分平均值确定，保留两位小数。</w:t>
      </w:r>
    </w:p>
    <w:p w14:paraId="19544C8B">
      <w:pPr>
        <w:rPr>
          <w:rFonts w:hint="eastAsia"/>
        </w:rPr>
      </w:pPr>
      <w:r>
        <w:rPr>
          <w:rFonts w:hint="eastAsia" w:ascii="宋体" w:hAnsi="宋体" w:eastAsia="宋体" w:cs="Times New Roman"/>
          <w:sz w:val="21"/>
          <w14:ligatures w14:val="none"/>
        </w:rPr>
        <w:t>2、</w:t>
      </w:r>
      <w:r>
        <w:rPr>
          <w:rFonts w:hint="eastAsia" w:ascii="宋体" w:hAnsi="宋体" w:eastAsia="宋体" w:cs="Times New Roman"/>
          <w:sz w:val="21"/>
          <w:szCs w:val="21"/>
          <w14:ligatures w14:val="none"/>
        </w:rPr>
        <w:t>养护实施方案各评分因素缺项按0分处理。</w:t>
      </w:r>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11"/>
    <w:rsid w:val="00282F11"/>
    <w:rsid w:val="00421C20"/>
    <w:rsid w:val="007F30F3"/>
    <w:rsid w:val="00A37D4A"/>
    <w:rsid w:val="00BC4916"/>
    <w:rsid w:val="508201A4"/>
    <w:rsid w:val="60456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2607</Words>
  <Characters>3005</Characters>
  <Lines>236</Lines>
  <Paragraphs>238</Paragraphs>
  <TotalTime>2</TotalTime>
  <ScaleCrop>false</ScaleCrop>
  <LinksUpToDate>false</LinksUpToDate>
  <CharactersWithSpaces>3052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2026-04-03T03:44:00Z</dcterms:created>
  <dc:creator>黎 唐</dc:creator>
  <cp:lastModifiedBy>智</cp:lastModifiedBy>
  <dcterms:modified xsi:type="dcterms:W3CDTF">2026-04-03T04:34:56Z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4F44644C3971483685115016968D31E1_13</vt:lpwstr>
  </property>
  <property fmtid="{D5CDD505-2E9C-101B-9397-08002B2CF9AE}" pid="4" name="KSOTemplateDocerSaveRecord">
    <vt:lpwstr>eyJoZGlkIjoiNjMwNzViOWJiMzdhYzg3MjYxYmJjMGFlNjFlZmNiYWYiLCJ1c2VySWQiOiIxNzM5MjYxODA0In0=</vt:lpwstr>
  </property>
</Properties>
</file>